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aragrafobase"/>
        <w:spacing w:lineRule="auto" w:line="240"/>
        <w:rPr>
          <w:rFonts w:ascii="Noto Sans" w:hAnsi="Noto Sans"/>
          <w:sz w:val="22"/>
          <w:szCs w:val="22"/>
        </w:rPr>
      </w:pPr>
      <w:r>
        <w:rPr>
          <w:rFonts w:cs="Noto Sans" w:ascii="Noto Sans" w:hAnsi="Noto Sans"/>
          <w:b/>
          <w:bCs/>
          <w:sz w:val="22"/>
          <w:szCs w:val="22"/>
        </w:rPr>
        <w:t>Registro scritture provate</w:t>
      </w:r>
    </w:p>
    <w:p>
      <w:pPr>
        <w:pStyle w:val="Paragrafobase"/>
        <w:tabs>
          <w:tab w:val="clear" w:pos="709"/>
          <w:tab w:val="left" w:pos="6379" w:leader="none"/>
        </w:tabs>
        <w:spacing w:lineRule="auto" w:line="240"/>
        <w:ind w:left="6379"/>
        <w:rPr>
          <w:rFonts w:ascii="Noto Sans" w:hAnsi="Noto Sans" w:cs="Noto Sans"/>
          <w:sz w:val="22"/>
          <w:szCs w:val="22"/>
        </w:rPr>
      </w:pPr>
      <w:r>
        <w:rPr>
          <w:rFonts w:cs="Noto Sans" w:ascii="Noto Sans" w:hAnsi="Noto Sans"/>
          <w:sz w:val="22"/>
          <w:szCs w:val="22"/>
        </w:rPr>
      </w:r>
    </w:p>
    <w:p>
      <w:pPr>
        <w:pStyle w:val="Paragrafobase"/>
        <w:tabs>
          <w:tab w:val="clear" w:pos="709"/>
          <w:tab w:val="left" w:pos="6379" w:leader="none"/>
        </w:tabs>
        <w:spacing w:lineRule="auto" w:line="240"/>
        <w:ind w:left="6379"/>
        <w:rPr>
          <w:rFonts w:ascii="Noto Sans" w:hAnsi="Noto Sans" w:cs="Noto Sans"/>
          <w:sz w:val="22"/>
          <w:szCs w:val="22"/>
        </w:rPr>
      </w:pPr>
      <w:r>
        <w:rPr>
          <w:rFonts w:cs="Noto Sans" w:ascii="Noto Sans" w:hAnsi="Noto Sans"/>
          <w:sz w:val="22"/>
          <w:szCs w:val="22"/>
        </w:rPr>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auto"/>
          <w:kern w:val="2"/>
          <w:sz w:val="22"/>
          <w:szCs w:val="22"/>
          <w:lang w:val="it-IT" w:eastAsia="en-US" w:bidi="ar-SA"/>
          <w14:ligatures w14:val="standardContextual"/>
        </w:rPr>
        <w:t>Oggetto: DISCIPLINARE DI INCARICO DI RILEVATORE ISTAT PER L’ATTIVITÀ’ DI CENSIMENTO PERMANENTE DELLA POPOLAZIONE E DELLE ABITAZIONI E PER L’ATTIVITÀ’ DI INDAGINE EUROPEA SULLA SALUTE – ANNO 2025</w:t>
      </w:r>
    </w:p>
    <w:p>
      <w:pPr>
        <w:pStyle w:val="BodyText"/>
        <w:widowControl/>
        <w:suppressAutoHyphens w:val="true"/>
        <w:bidi w:val="0"/>
        <w:spacing w:before="0" w:after="0"/>
        <w:ind w:left="1" w:right="366"/>
        <w:jc w:val="left"/>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left"/>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 xml:space="preserve">L’anno 2025 il giorno_______ del mese di_________ in Budrio </w:t>
      </w:r>
    </w:p>
    <w:p>
      <w:pPr>
        <w:pStyle w:val="BodyText"/>
        <w:widowControl/>
        <w:suppressAutoHyphens w:val="true"/>
        <w:bidi w:val="0"/>
        <w:spacing w:before="0" w:after="0"/>
        <w:ind w:left="1" w:right="366"/>
        <w:jc w:val="center"/>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tra</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 xml:space="preserve">il Comune di Budrio,  Codice fiscale: 00469720379 - Partita IVA: 00510771207, </w:t>
      </w:r>
      <w:r>
        <w:rPr>
          <w:rFonts w:eastAsia="Aptos" w:cs="" w:ascii="Noto Sans" w:hAnsi="Noto Sans" w:cstheme="minorBidi" w:eastAsiaTheme="minorHAnsi"/>
          <w:color w:val="000000"/>
          <w:kern w:val="2"/>
          <w:sz w:val="22"/>
          <w:szCs w:val="22"/>
          <w:lang w:val="it-IT" w:eastAsia="en-US" w:bidi="ar-SA"/>
          <w14:ligatures w14:val="standardContextual"/>
        </w:rPr>
        <w:t>rappresentato dalla Resp</w:t>
      </w:r>
      <w:r>
        <w:rPr>
          <w:rFonts w:eastAsia="Aptos" w:cs="" w:ascii="Noto Sans" w:hAnsi="Noto Sans" w:cstheme="minorBidi" w:eastAsiaTheme="minorHAnsi"/>
          <w:color w:val="auto"/>
          <w:kern w:val="2"/>
          <w:sz w:val="22"/>
          <w:szCs w:val="22"/>
          <w:lang w:val="it-IT" w:eastAsia="en-US" w:bidi="ar-SA"/>
          <w14:ligatures w14:val="standardContextual"/>
        </w:rPr>
        <w:t xml:space="preserve">onsabile del Settore Affari Generali Dott.ssa Gianpaola di Summa, che dichiara di agire esclusivamente in nome, per conto e nell’interesse dell’Ente che rappresenta; </w:t>
      </w:r>
    </w:p>
    <w:p>
      <w:pPr>
        <w:pStyle w:val="BodyText"/>
        <w:widowControl/>
        <w:suppressAutoHyphens w:val="true"/>
        <w:bidi w:val="0"/>
        <w:spacing w:before="0" w:after="0"/>
        <w:ind w:left="1" w:right="366"/>
        <w:jc w:val="center"/>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 xml:space="preserve">e </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val="false"/>
          <w:bCs w:val="false"/>
          <w:color w:val="auto"/>
          <w:kern w:val="2"/>
          <w:sz w:val="22"/>
          <w:szCs w:val="22"/>
          <w:lang w:val="it-IT" w:eastAsia="en-US" w:bidi="ar-SA"/>
          <w14:ligatures w14:val="standardContextual"/>
        </w:rPr>
        <w:t xml:space="preserve">il signor BRUNO BARALDI, </w:t>
      </w:r>
      <w:r>
        <w:rPr>
          <w:rFonts w:eastAsia="Aptos" w:cs="" w:ascii="Noto Sans" w:hAnsi="Noto Sans" w:cstheme="minorBidi" w:eastAsiaTheme="minorHAnsi"/>
          <w:b w:val="false"/>
          <w:bCs w:val="false"/>
          <w:color w:val="000000"/>
          <w:kern w:val="2"/>
          <w:sz w:val="22"/>
          <w:szCs w:val="22"/>
          <w:shd w:fill="000000" w:val="clear"/>
          <w:lang w:val="it-IT" w:eastAsia="en-US" w:bidi="ar-SA"/>
          <w14:ligatures w14:val="standardContextual"/>
        </w:rPr>
        <w:t>nato a BOLOGNA (BO) il 17/10/1965, codice fiscale: BRLBRN65R17A944T, residente a BOLOGNA (BO) – VIALE FELSINA N. 39</w:t>
      </w:r>
      <w:r>
        <w:rPr>
          <w:rFonts w:eastAsia="Aptos" w:cs="" w:ascii="Noto Sans" w:hAnsi="Noto Sans" w:cstheme="minorBidi" w:eastAsiaTheme="minorHAnsi"/>
          <w:b w:val="false"/>
          <w:bCs w:val="false"/>
          <w:color w:val="auto"/>
          <w:kern w:val="2"/>
          <w:sz w:val="22"/>
          <w:szCs w:val="22"/>
          <w:lang w:val="it-IT" w:eastAsia="en-US" w:bidi="ar-SA"/>
          <w14:ligatures w14:val="standardContextual"/>
        </w:rPr>
        <w:t>, d’ora in avanti il Rilevatore</w:t>
      </w:r>
    </w:p>
    <w:p>
      <w:pPr>
        <w:pStyle w:val="BodyText"/>
        <w:widowControl/>
        <w:suppressAutoHyphens w:val="true"/>
        <w:bidi w:val="0"/>
        <w:spacing w:before="0" w:after="0"/>
        <w:ind w:left="1" w:right="366"/>
        <w:jc w:val="both"/>
        <w:rPr>
          <w:rFonts w:ascii="Noto Sans" w:hAnsi="Noto Sans" w:eastAsia="Aptos" w:cs="" w:cstheme="minorBidi" w:eastAsiaTheme="minorHAnsi"/>
          <w:b w:val="false"/>
          <w:i w:val="false"/>
          <w:i w:val="false"/>
          <w:caps w:val="false"/>
          <w:smallCaps w:val="false"/>
          <w:color w:val="000000"/>
          <w:kern w:val="2"/>
          <w:sz w:val="22"/>
          <w:szCs w:val="22"/>
          <w:lang w:val="it-IT" w:eastAsia="en-US" w:bidi="ar-SA"/>
          <w14:ligatures w14:val="standardContextual"/>
        </w:rPr>
      </w:pPr>
      <w:r>
        <w:rPr>
          <w:rFonts w:eastAsia="Aptos" w:cs="" w:ascii="Noto Sans" w:hAnsi="Noto Sans" w:cstheme="minorBidi" w:eastAsiaTheme="minorHAnsi"/>
          <w:b w:val="false"/>
          <w:i w:val="false"/>
          <w:caps w:val="false"/>
          <w:smallCaps w:val="false"/>
          <w:color w:val="000000"/>
          <w:kern w:val="2"/>
          <w:sz w:val="22"/>
          <w:szCs w:val="22"/>
          <w:lang w:val="it-IT" w:eastAsia="en-US" w:bidi="ar-SA"/>
          <w14:ligatures w14:val="standardContextual"/>
        </w:rPr>
        <w:t>Premesso:</w:t>
      </w:r>
    </w:p>
    <w:p>
      <w:pPr>
        <w:pStyle w:val="BodyText"/>
        <w:widowControl/>
        <w:numPr>
          <w:ilvl w:val="0"/>
          <w:numId w:val="2"/>
        </w:numPr>
        <w:suppressAutoHyphens w:val="true"/>
        <w:bidi w:val="0"/>
        <w:spacing w:before="0" w:after="0"/>
        <w:jc w:val="both"/>
        <w:rPr>
          <w:rFonts w:ascii="Noto Sans" w:hAnsi="Noto Sans" w:eastAsia="Aptos" w:cs="" w:cstheme="minorBidi" w:eastAsiaTheme="minorHAnsi"/>
          <w:b w:val="false"/>
          <w:i w:val="false"/>
          <w:i w:val="false"/>
          <w:caps w:val="false"/>
          <w:smallCaps w:val="false"/>
          <w:color w:val="auto"/>
          <w:kern w:val="2"/>
          <w:sz w:val="22"/>
          <w:szCs w:val="22"/>
          <w:lang w:val="it-IT" w:eastAsia="en-US" w:bidi="ar-SA"/>
          <w14:ligatures w14:val="standardContextual"/>
        </w:rPr>
      </w:pPr>
      <w:r>
        <w:rPr>
          <w:rFonts w:eastAsia="Aptos" w:cs="" w:ascii="Noto Sans" w:hAnsi="Noto Sans" w:cstheme="minorBidi" w:eastAsiaTheme="minorHAnsi"/>
          <w:b w:val="false"/>
          <w:i w:val="false"/>
          <w:caps w:val="false"/>
          <w:smallCaps w:val="false"/>
          <w:color w:val="auto"/>
          <w:kern w:val="2"/>
          <w:sz w:val="22"/>
          <w:szCs w:val="22"/>
          <w:lang w:val="it-IT" w:eastAsia="en-US" w:bidi="ar-SA"/>
          <w14:ligatures w14:val="standardContextual"/>
        </w:rPr>
        <w:t>con determinazione n. 351/2025 “INDIVIDUAZIONE RILEVATORE PER CENSIMENTO PERMANENTE DELLA POPOLAZIONE E DELLE ABITAZIONI 2025 PER CONTO DI ISTAT” e n. 652/2025 “INDIVIDUAZIONE RILEVATORE PER INDAGINE EUROPEA SULLA SALUTE ANNO 2025 PER CONTO DI ISTAT” è stato individuato come rilevatore il Signor Bruno Baraldi;</w:t>
      </w:r>
    </w:p>
    <w:p>
      <w:pPr>
        <w:pStyle w:val="BodyText"/>
        <w:widowControl/>
        <w:numPr>
          <w:ilvl w:val="0"/>
          <w:numId w:val="2"/>
        </w:numPr>
        <w:suppressAutoHyphens w:val="true"/>
        <w:bidi w:val="0"/>
        <w:spacing w:before="0" w:after="0"/>
        <w:jc w:val="both"/>
        <w:rPr>
          <w:rFonts w:ascii="Noto Sans" w:hAnsi="Noto Sans" w:eastAsia="Aptos" w:cs="" w:cstheme="minorBidi" w:eastAsiaTheme="minorHAnsi"/>
          <w:b w:val="false"/>
          <w:i w:val="false"/>
          <w:i w:val="false"/>
          <w:caps w:val="false"/>
          <w:smallCaps w:val="false"/>
          <w:color w:val="000000"/>
          <w:kern w:val="2"/>
          <w:sz w:val="22"/>
          <w:szCs w:val="22"/>
          <w:lang w:val="it-IT" w:eastAsia="en-US" w:bidi="ar-SA"/>
          <w14:ligatures w14:val="standardContextual"/>
        </w:rPr>
      </w:pPr>
      <w:r>
        <w:rPr>
          <w:rFonts w:eastAsia="Aptos" w:cs="" w:ascii="Noto Sans" w:hAnsi="Noto Sans" w:cstheme="minorBidi" w:eastAsiaTheme="minorHAnsi"/>
          <w:b w:val="false"/>
          <w:i w:val="false"/>
          <w:caps w:val="false"/>
          <w:smallCaps w:val="false"/>
          <w:color w:val="000000"/>
          <w:kern w:val="2"/>
          <w:sz w:val="22"/>
          <w:szCs w:val="22"/>
          <w:lang w:val="it-IT" w:eastAsia="en-US" w:bidi="ar-SA"/>
          <w14:ligatures w14:val="standardContextual"/>
        </w:rPr>
        <w:t>che il Rilevatore ha prodotto la dichiarazione, acquisita agli atti, con i dati relativi allo svolgimento di eventuali altri incarichi o alla titolarità di cariche in enti di diritto privato regolati o finanziati dalla pubblica amministrazione o allo svolgimento di altre attività professionali (dichiarazione del rilevatore ai sensi dell’art. 15, co. 1, lettera c) del D.Lgs. n. 33/2013);</w:t>
      </w:r>
    </w:p>
    <w:p>
      <w:pPr>
        <w:pStyle w:val="BodyText"/>
        <w:widowControl/>
        <w:numPr>
          <w:ilvl w:val="0"/>
          <w:numId w:val="2"/>
        </w:numPr>
        <w:suppressAutoHyphens w:val="true"/>
        <w:bidi w:val="0"/>
        <w:spacing w:before="0" w:after="0"/>
        <w:jc w:val="both"/>
        <w:rPr/>
      </w:pPr>
      <w:r>
        <w:rPr>
          <w:rFonts w:cs="" w:ascii="Noto Sans" w:hAnsi="Noto Sans" w:cstheme="minorBidi"/>
          <w:b w:val="false"/>
          <w:i w:val="false"/>
          <w:caps w:val="false"/>
          <w:smallCaps w:val="false"/>
          <w:color w:val="000000"/>
          <w:sz w:val="22"/>
          <w:szCs w:val="22"/>
          <w14:ligatures w14:val="standardContextual"/>
        </w:rPr>
        <w:t>che il Rilevatore ha prodotto la dichiarazione, acquisita agli atti, in merito a interessi finanziari e conflitti di interesse, ai sensi dell’art. 6 del D.P.R. 16/04/2013, n. 62 “</w:t>
      </w:r>
      <w:r>
        <w:rPr>
          <w:rStyle w:val="Emphasis"/>
          <w:rFonts w:cs="" w:ascii="Noto Sans" w:hAnsi="Noto Sans" w:cstheme="minorBidi"/>
          <w:b w:val="false"/>
          <w:i/>
          <w:caps w:val="false"/>
          <w:smallCaps w:val="false"/>
          <w:color w:val="000000"/>
          <w:sz w:val="22"/>
          <w:szCs w:val="22"/>
          <w14:ligatures w14:val="standardContextual"/>
        </w:rPr>
        <w:t>Regolamento recante codice di comportamento dei dipendenti pubblici</w:t>
      </w:r>
      <w:r>
        <w:rPr>
          <w:rFonts w:cs="" w:ascii="Noto Sans" w:hAnsi="Noto Sans" w:cstheme="minorBidi"/>
          <w:b w:val="false"/>
          <w:i w:val="false"/>
          <w:caps w:val="false"/>
          <w:smallCaps w:val="false"/>
          <w:color w:val="000000"/>
          <w:sz w:val="22"/>
          <w:szCs w:val="22"/>
          <w14:ligatures w14:val="standardContextual"/>
        </w:rPr>
        <w:t>”;</w:t>
      </w:r>
    </w:p>
    <w:p>
      <w:pPr>
        <w:pStyle w:val="BodyText"/>
        <w:widowControl/>
        <w:numPr>
          <w:ilvl w:val="0"/>
          <w:numId w:val="2"/>
        </w:numPr>
        <w:suppressAutoHyphens w:val="true"/>
        <w:bidi w:val="0"/>
        <w:spacing w:before="0" w:after="0"/>
        <w:jc w:val="both"/>
        <w:rPr/>
      </w:pPr>
      <w:r>
        <w:rPr>
          <w:rFonts w:cs="" w:ascii="Noto Sans" w:hAnsi="Noto Sans" w:cstheme="minorBidi"/>
          <w:b w:val="false"/>
          <w:i w:val="false"/>
          <w:caps w:val="false"/>
          <w:smallCaps w:val="false"/>
          <w:color w:val="000000"/>
          <w:sz w:val="22"/>
          <w:szCs w:val="22"/>
          <w14:ligatures w14:val="standardContextual"/>
        </w:rPr>
        <w:t>che il Rilevatore, con riferimento alle prestazioni oggetto del presente contratto, si impegna ad osservare gli obblighi di condotta previsti dal D.P.R. 16 aprile 2013, n. 62 (</w:t>
      </w:r>
      <w:r>
        <w:rPr>
          <w:rStyle w:val="Emphasis"/>
          <w:rFonts w:cs="" w:ascii="Noto Sans" w:hAnsi="Noto Sans" w:cstheme="minorBidi"/>
          <w:b w:val="false"/>
          <w:i/>
          <w:caps w:val="false"/>
          <w:smallCaps w:val="false"/>
          <w:color w:val="000000"/>
          <w:sz w:val="22"/>
          <w:szCs w:val="22"/>
          <w14:ligatures w14:val="standardContextual"/>
        </w:rPr>
        <w:t>Codice di comportamento dei dipendenti pubblici</w:t>
      </w:r>
      <w:r>
        <w:rPr>
          <w:rFonts w:cs="" w:ascii="Noto Sans" w:hAnsi="Noto Sans" w:cstheme="minorBidi"/>
          <w:b w:val="false"/>
          <w:i w:val="false"/>
          <w:caps w:val="false"/>
          <w:smallCaps w:val="false"/>
          <w:color w:val="000000"/>
          <w:sz w:val="22"/>
          <w:szCs w:val="22"/>
          <w14:ligatures w14:val="standardContextual"/>
        </w:rPr>
        <w:t>) ed estesi a tutti i collaboratori o consulenti, con qualsiasi tipologia di contratto o incarico, a norma del comma 3 dell’art. 2 del </w:t>
      </w:r>
      <w:r>
        <w:rPr>
          <w:rStyle w:val="Emphasis"/>
          <w:rFonts w:cs="" w:ascii="Noto Sans" w:hAnsi="Noto Sans" w:cstheme="minorBidi"/>
          <w:b w:val="false"/>
          <w:i/>
          <w:caps w:val="false"/>
          <w:smallCaps w:val="false"/>
          <w:color w:val="000000"/>
          <w:sz w:val="22"/>
          <w:szCs w:val="22"/>
          <w14:ligatures w14:val="standardContextual"/>
        </w:rPr>
        <w:t>Codice</w:t>
      </w:r>
      <w:r>
        <w:rPr>
          <w:rFonts w:cs="" w:ascii="Noto Sans" w:hAnsi="Noto Sans" w:cstheme="minorBidi"/>
          <w:b w:val="false"/>
          <w:i w:val="false"/>
          <w:caps w:val="false"/>
          <w:smallCaps w:val="false"/>
          <w:color w:val="000000"/>
          <w:sz w:val="22"/>
          <w:szCs w:val="22"/>
          <w14:ligatures w14:val="standardContextual"/>
        </w:rPr>
        <w:t> medesimo, e che a tal fine si dà atto che l’Amministrazione ha dato diffusione al presente decreto, pubblicando sul proprio sito internet istituzionale, ai sensi dell’articolo 17 del D.P.R. n. 62/2013, copia del </w:t>
      </w:r>
      <w:r>
        <w:rPr>
          <w:rStyle w:val="Emphasis"/>
          <w:rFonts w:cs="" w:ascii="Noto Sans" w:hAnsi="Noto Sans" w:cstheme="minorBidi"/>
          <w:b w:val="false"/>
          <w:i/>
          <w:caps w:val="false"/>
          <w:smallCaps w:val="false"/>
          <w:color w:val="000000"/>
          <w:sz w:val="22"/>
          <w:szCs w:val="22"/>
          <w14:ligatures w14:val="standardContextual"/>
        </w:rPr>
        <w:t>Codice</w:t>
      </w:r>
      <w:r>
        <w:rPr>
          <w:rFonts w:cs="" w:ascii="Noto Sans" w:hAnsi="Noto Sans" w:cstheme="minorBidi"/>
          <w:b w:val="false"/>
          <w:i w:val="false"/>
          <w:caps w:val="false"/>
          <w:smallCaps w:val="false"/>
          <w:color w:val="000000"/>
          <w:sz w:val="22"/>
          <w:szCs w:val="22"/>
          <w14:ligatures w14:val="standardContextual"/>
        </w:rPr>
        <w:t> medesimo;</w:t>
      </w:r>
    </w:p>
    <w:p>
      <w:pPr>
        <w:pStyle w:val="BodyText"/>
        <w:widowControl/>
        <w:numPr>
          <w:ilvl w:val="0"/>
          <w:numId w:val="2"/>
        </w:numPr>
        <w:suppressAutoHyphens w:val="true"/>
        <w:bidi w:val="0"/>
        <w:spacing w:before="0" w:after="0"/>
        <w:jc w:val="both"/>
        <w:rPr>
          <w:rFonts w:ascii="Noto Sans" w:hAnsi="Noto Sans" w:cs="" w:cstheme="minorBidi"/>
          <w:b w:val="false"/>
          <w:i w:val="false"/>
          <w:i w:val="false"/>
          <w:caps w:val="false"/>
          <w:smallCaps w:val="false"/>
          <w:color w:val="000000"/>
          <w:sz w:val="22"/>
          <w:szCs w:val="22"/>
          <w14:ligatures w14:val="standardContextual"/>
        </w:rPr>
      </w:pPr>
      <w:r>
        <w:rPr>
          <w:rFonts w:eastAsia="Aptos" w:cs="" w:ascii="Noto Sans" w:hAnsi="Noto Sans" w:cstheme="minorBidi" w:eastAsiaTheme="minorHAnsi"/>
          <w:b w:val="false"/>
          <w:i w:val="false"/>
          <w:caps w:val="false"/>
          <w:smallCaps w:val="false"/>
          <w:color w:val="000000"/>
          <w:sz w:val="22"/>
          <w:szCs w:val="22"/>
          <w14:ligatures w14:val="standardContextual"/>
        </w:rPr>
        <w:t>che il rilevatore in quanto dipendente pubblico ha presentato preventivo nulla d’osta autorizzatorio;</w:t>
      </w:r>
    </w:p>
    <w:p>
      <w:pPr>
        <w:pStyle w:val="BodyText"/>
        <w:widowControl/>
        <w:numPr>
          <w:ilvl w:val="0"/>
          <w:numId w:val="2"/>
        </w:numPr>
        <w:suppressAutoHyphens w:val="true"/>
        <w:bidi w:val="0"/>
        <w:spacing w:before="0" w:after="0"/>
        <w:jc w:val="both"/>
        <w:rPr>
          <w:rFonts w:ascii="Noto Sans" w:hAnsi="Noto Sans"/>
          <w:sz w:val="22"/>
          <w:szCs w:val="22"/>
        </w:rPr>
      </w:pPr>
      <w:r>
        <w:rPr>
          <w:rFonts w:cs="" w:ascii="Noto Sans" w:hAnsi="Noto Sans" w:cstheme="minorBidi"/>
          <w:b w:val="false"/>
          <w:i w:val="false"/>
          <w:caps w:val="false"/>
          <w:smallCaps w:val="false"/>
          <w:color w:val="000000"/>
          <w:sz w:val="22"/>
          <w:szCs w:val="22"/>
          <w14:ligatures w14:val="standardContextual"/>
        </w:rPr>
        <w:t>che la Responsabile, preso atto della dichiarazione ai sensi dell’art. 6 del D.P.R. 16/04/2013 n. 62, ha attestato l'avvenuta verifica dell'insussistenza di situazioni anche potenziali di conflitto d’interessi, a norma dell'art. 53, co. 14 D.Lgs. 165/2001;</w:t>
      </w:r>
    </w:p>
    <w:p>
      <w:pPr>
        <w:pStyle w:val="BodyText"/>
        <w:widowControl/>
        <w:numPr>
          <w:ilvl w:val="0"/>
          <w:numId w:val="0"/>
        </w:numPr>
        <w:suppressAutoHyphens w:val="true"/>
        <w:bidi w:val="0"/>
        <w:spacing w:before="0" w:after="0"/>
        <w:ind w:hanging="0" w:left="721"/>
        <w:jc w:val="both"/>
        <w:rPr>
          <w:rFonts w:ascii="Noto Sans" w:hAnsi="Noto Sans" w:cs="" w:cstheme="minorBidi"/>
          <w:b w:val="false"/>
          <w:i w:val="false"/>
          <w:i w:val="false"/>
          <w:caps w:val="false"/>
          <w:smallCaps w:val="false"/>
          <w:color w:val="000000"/>
          <w:sz w:val="22"/>
          <w:szCs w:val="22"/>
          <w14:ligatures w14:val="standardContextual"/>
        </w:rPr>
      </w:pPr>
      <w:r>
        <w:rPr>
          <w:rFonts w:cs="" w:cstheme="minorBidi" w:ascii="Noto Sans" w:hAnsi="Noto Sans"/>
          <w:b w:val="false"/>
          <w:i w:val="false"/>
          <w:caps w:val="false"/>
          <w:smallCaps w:val="false"/>
          <w:color w:val="000000"/>
          <w:sz w:val="22"/>
          <w:szCs w:val="22"/>
          <w14:ligatures w14:val="standardContextual"/>
        </w:rPr>
      </w:r>
    </w:p>
    <w:p>
      <w:pPr>
        <w:pStyle w:val="BodyText"/>
        <w:widowControl/>
        <w:suppressAutoHyphens w:val="true"/>
        <w:spacing w:before="0" w:after="0"/>
        <w:ind w:hanging="0" w:left="0" w:right="0"/>
        <w:jc w:val="both"/>
        <w:rPr>
          <w:rFonts w:ascii="Noto Sans" w:hAnsi="Noto Sans" w:cs="" w:cstheme="minorBidi"/>
          <w:sz w:val="22"/>
          <w:szCs w:val="22"/>
          <w14:ligatures w14:val="standardContextual"/>
        </w:rPr>
      </w:pPr>
      <w:r>
        <w:rPr>
          <w:rStyle w:val="Strong"/>
          <w:rFonts w:eastAsia="Aptos" w:cs="" w:ascii="Noto Sans" w:hAnsi="Noto Sans" w:cstheme="minorBidi" w:eastAsiaTheme="minorHAnsi"/>
          <w:b/>
          <w:i w:val="false"/>
          <w:caps w:val="false"/>
          <w:smallCaps w:val="false"/>
          <w:color w:val="000000"/>
          <w:sz w:val="22"/>
          <w:szCs w:val="22"/>
          <w14:ligatures w14:val="standardContextual"/>
        </w:rPr>
        <w:t>TUTTO CIÒ PREMESSO</w:t>
      </w:r>
      <w:r>
        <w:rPr>
          <w:rFonts w:eastAsia="Aptos" w:cs="" w:ascii="Noto Sans" w:hAnsi="Noto Sans" w:cstheme="minorBidi" w:eastAsiaTheme="minorHAnsi"/>
          <w:b w:val="false"/>
          <w:i w:val="false"/>
          <w:caps w:val="false"/>
          <w:smallCaps w:val="false"/>
          <w:color w:val="000000"/>
          <w:sz w:val="22"/>
          <w:szCs w:val="22"/>
          <w14:ligatures w14:val="standardContextual"/>
        </w:rPr>
        <w:t> le parti convengono e stipulano quanto segue:</w:t>
      </w:r>
    </w:p>
    <w:p>
      <w:pPr>
        <w:pStyle w:val="BodyText"/>
        <w:widowControl/>
        <w:suppressAutoHyphens w:val="true"/>
        <w:spacing w:before="0" w:after="0"/>
        <w:ind w:hanging="0" w:left="0" w:right="0"/>
        <w:jc w:val="both"/>
        <w:rPr>
          <w:rFonts w:ascii="Noto Sans" w:hAnsi="Noto Sans" w:cs="" w:cstheme="minorBidi"/>
          <w:b w:val="false"/>
          <w:i w:val="false"/>
          <w:i w:val="false"/>
          <w:caps w:val="false"/>
          <w:smallCaps w:val="false"/>
          <w:color w:val="000000"/>
          <w:sz w:val="22"/>
          <w:szCs w:val="22"/>
          <w14:ligatures w14:val="standardContextual"/>
        </w:rPr>
      </w:pPr>
      <w:r>
        <w:rPr>
          <w:rFonts w:cs="" w:cstheme="minorBidi" w:ascii="Noto Sans" w:hAnsi="Noto Sans"/>
          <w:b w:val="false"/>
          <w:i w:val="false"/>
          <w:caps w:val="false"/>
          <w:smallCaps w:val="false"/>
          <w:color w:val="000000"/>
          <w:sz w:val="22"/>
          <w:szCs w:val="22"/>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1</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OGGETTO DELL’INCARICO:</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L’incarico consiste nell’effettuare, nel Comune di Budrio,:</w:t>
      </w:r>
    </w:p>
    <w:p>
      <w:pPr>
        <w:pStyle w:val="BodyText"/>
        <w:widowControl/>
        <w:numPr>
          <w:ilvl w:val="0"/>
          <w:numId w:val="1"/>
        </w:numPr>
        <w:suppressAutoHyphens w:val="true"/>
        <w:bidi w:val="0"/>
        <w:spacing w:before="0" w:after="0"/>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relativamente all’attività di censimento un numero d</w:t>
      </w:r>
      <w:r>
        <w:rPr>
          <w:rFonts w:eastAsia="Aptos" w:cs="" w:ascii="Noto Sans" w:hAnsi="Noto Sans" w:cstheme="minorBidi" w:eastAsiaTheme="minorHAnsi"/>
          <w:color w:val="000000"/>
          <w:kern w:val="2"/>
          <w:sz w:val="22"/>
          <w:szCs w:val="22"/>
          <w:shd w:fill="FFFFFF" w:val="clear"/>
          <w:lang w:val="it-IT" w:eastAsia="en-US" w:bidi="ar-SA"/>
          <w14:ligatures w14:val="standardContextual"/>
        </w:rPr>
        <w:t>i</w:t>
      </w:r>
      <w:r>
        <w:rPr>
          <w:rFonts w:eastAsia="Aptos" w:cs="" w:ascii="Noto Sans" w:hAnsi="Noto Sans" w:cstheme="minorBidi" w:eastAsiaTheme="minorHAnsi"/>
          <w:color w:val="FFFFFF"/>
          <w:kern w:val="2"/>
          <w:sz w:val="22"/>
          <w:szCs w:val="22"/>
          <w:shd w:fill="FFFFFF" w:val="clear"/>
          <w:lang w:val="it-IT" w:eastAsia="en-US" w:bidi="ar-SA"/>
          <w14:ligatures w14:val="standardContextual"/>
        </w:rPr>
        <w:t xml:space="preserve"> </w:t>
      </w:r>
      <w:r>
        <w:rPr>
          <w:rFonts w:eastAsia="Aptos" w:cs="" w:ascii="Noto Sans" w:hAnsi="Noto Sans" w:cstheme="minorBidi" w:eastAsiaTheme="minorHAnsi"/>
          <w:color w:val="000000"/>
          <w:kern w:val="2"/>
          <w:sz w:val="22"/>
          <w:szCs w:val="22"/>
          <w:shd w:fill="FFFFFF" w:val="clear"/>
          <w:lang w:val="it-IT" w:eastAsia="en-US" w:bidi="ar-SA"/>
          <w14:ligatures w14:val="standardContextual"/>
        </w:rPr>
        <w:t>i</w:t>
      </w:r>
      <w:r>
        <w:rPr>
          <w:rFonts w:eastAsia="Aptos" w:cs="" w:ascii="Noto Sans" w:hAnsi="Noto Sans" w:cstheme="minorBidi" w:eastAsiaTheme="minorHAnsi"/>
          <w:color w:val="auto"/>
          <w:kern w:val="2"/>
          <w:sz w:val="22"/>
          <w:szCs w:val="22"/>
          <w:lang w:val="it-IT" w:eastAsia="en-US" w:bidi="ar-SA"/>
          <w14:ligatures w14:val="standardContextual"/>
        </w:rPr>
        <w:t xml:space="preserve">nterviste alle famiglie individuate dall’Istat e secondo le indicazioni contenute nella circolare Istat prot. n. 682107/25 del 27/03/2025;  </w:t>
      </w:r>
    </w:p>
    <w:p>
      <w:pPr>
        <w:pStyle w:val="BodyText"/>
        <w:widowControl/>
        <w:numPr>
          <w:ilvl w:val="0"/>
          <w:numId w:val="1"/>
        </w:numPr>
        <w:suppressAutoHyphens w:val="true"/>
        <w:bidi w:val="0"/>
        <w:spacing w:before="0" w:after="0"/>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 xml:space="preserve">relativamente all’attività dell’indagine europea sulla salute  secondo le indicazioni contenute nella  circolare Istat prot. n. 1107380/25 del 24/05/2025;  </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Le interviste saranno effettuate utilizzando il questionario elettronico presente sul tablet, che sarà messo a disposizione del rilevatore per il periodo dell’indagine, oltre ai questionari cartacei predisposti dall’Istat per questa indagine e attenendosi alle indicazioni specificate nei manuali di istruzione forniti dall’Istat.</w:t>
      </w:r>
    </w:p>
    <w:p>
      <w:pPr>
        <w:pStyle w:val="BodyText"/>
        <w:widowControl/>
        <w:suppressAutoHyphens w:val="true"/>
        <w:bidi w:val="0"/>
        <w:spacing w:before="0" w:after="0"/>
        <w:ind w:left="1" w:right="366"/>
        <w:jc w:val="both"/>
        <w:rPr/>
      </w:pPr>
      <w:r>
        <w:rPr>
          <w:rFonts w:eastAsia="Aptos" w:cs="" w:ascii="Noto Sans" w:hAnsi="Noto Sans" w:cstheme="minorBidi" w:eastAsiaTheme="minorHAnsi"/>
          <w:color w:val="auto"/>
          <w:kern w:val="2"/>
          <w:sz w:val="22"/>
          <w:szCs w:val="22"/>
          <w:lang w:val="it-IT" w:eastAsia="en-US" w:bidi="ar-SA"/>
          <w14:ligatures w14:val="standardContextual"/>
        </w:rPr>
        <w:t xml:space="preserve">La formazione è obbligatoria e si svolgerà in aula virtuale; i rilevatori dovranno studiare approfonditamente, prima della rilevazione, il libretto delle istruzioni e tutto il materiale disponibile sulla piattaforma per la formazione statistica al link: </w:t>
      </w:r>
      <w:hyperlink r:id="rId2">
        <w:r>
          <w:rPr>
            <w:rStyle w:val="Hyperlink"/>
            <w:rFonts w:eastAsia="Aptos" w:cs="" w:ascii="Noto Sans" w:hAnsi="Noto Sans" w:cstheme="minorBidi" w:eastAsiaTheme="minorHAnsi"/>
            <w:color w:val="auto"/>
            <w:kern w:val="2"/>
            <w:sz w:val="22"/>
            <w:szCs w:val="22"/>
            <w:lang w:val="it-IT" w:eastAsia="en-US" w:bidi="ar-SA"/>
            <w14:ligatures w14:val="standardContextual"/>
          </w:rPr>
          <w:t>https://formazione.istat.it/moodle/course/view.php?id=333</w:t>
        </w:r>
      </w:hyperlink>
      <w:r>
        <w:rPr>
          <w:rFonts w:eastAsia="Aptos" w:cs="" w:ascii="Noto Sans" w:hAnsi="Noto Sans" w:cstheme="minorBidi" w:eastAsiaTheme="minorHAnsi"/>
          <w:color w:val="auto"/>
          <w:kern w:val="2"/>
          <w:sz w:val="22"/>
          <w:szCs w:val="22"/>
          <w:lang w:val="it-IT" w:eastAsia="en-US" w:bidi="ar-SA"/>
          <w14:ligatures w14:val="standardContextual"/>
        </w:rPr>
        <w:t>.</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2</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auto"/>
          <w:kern w:val="2"/>
          <w:sz w:val="22"/>
          <w:szCs w:val="22"/>
          <w:lang w:val="it-IT" w:eastAsia="en-US" w:bidi="ar-SA"/>
          <w14:ligatures w14:val="standardContextual"/>
        </w:rPr>
        <w:t>DURATA DELL’INCARICO</w:t>
      </w:r>
      <w:r>
        <w:rPr>
          <w:rFonts w:eastAsia="Aptos" w:cs="" w:ascii="Noto Sans" w:hAnsi="Noto Sans" w:cstheme="minorBidi" w:eastAsiaTheme="minorHAnsi"/>
          <w:color w:val="auto"/>
          <w:kern w:val="2"/>
          <w:sz w:val="22"/>
          <w:szCs w:val="22"/>
          <w:lang w:val="it-IT" w:eastAsia="en-US" w:bidi="ar-SA"/>
          <w14:ligatures w14:val="standardContextual"/>
        </w:rPr>
        <w:t>:</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Il presente incarico deve essere espletato</w:t>
      </w:r>
    </w:p>
    <w:p>
      <w:pPr>
        <w:pStyle w:val="BodyText"/>
        <w:widowControl/>
        <w:numPr>
          <w:ilvl w:val="0"/>
          <w:numId w:val="1"/>
        </w:numPr>
        <w:suppressAutoHyphens w:val="true"/>
        <w:bidi w:val="0"/>
        <w:spacing w:before="0" w:after="0"/>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 xml:space="preserve">relativamente all’attività di censimento  nel periodo compreso tra il 6 ottobre e 23 dicembre; </w:t>
      </w:r>
    </w:p>
    <w:p>
      <w:pPr>
        <w:pStyle w:val="BodyText"/>
        <w:widowControl/>
        <w:numPr>
          <w:ilvl w:val="0"/>
          <w:numId w:val="1"/>
        </w:numPr>
        <w:suppressAutoHyphens w:val="true"/>
        <w:bidi w:val="0"/>
        <w:spacing w:before="0" w:after="0"/>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relativamente all’attività dell’indagine europea sulla salute nel periodo compreso tra il 6 ottobre e il</w:t>
      </w:r>
      <w:r>
        <w:rPr>
          <w:rFonts w:eastAsia="Aptos" w:cs="" w:ascii="Noto Sans" w:hAnsi="Noto Sans" w:cstheme="minorBidi" w:eastAsiaTheme="minorHAnsi"/>
          <w:color w:val="000000"/>
          <w:kern w:val="2"/>
          <w:sz w:val="22"/>
          <w:szCs w:val="22"/>
          <w:shd w:fill="FFFFFF" w:val="clear"/>
          <w:lang w:val="it-IT" w:eastAsia="en-US" w:bidi="ar-SA"/>
          <w14:ligatures w14:val="standardContextual"/>
        </w:rPr>
        <w:t xml:space="preserve"> 20 novembre;</w:t>
      </w:r>
    </w:p>
    <w:p>
      <w:pPr>
        <w:pStyle w:val="BodyText"/>
        <w:widowControl/>
        <w:numPr>
          <w:ilvl w:val="0"/>
          <w:numId w:val="0"/>
        </w:numPr>
        <w:suppressAutoHyphens w:val="true"/>
        <w:bidi w:val="0"/>
        <w:spacing w:before="0" w:after="0"/>
        <w:ind w:hanging="0" w:left="721"/>
        <w:jc w:val="both"/>
        <w:rPr>
          <w:rFonts w:ascii="Noto Sans" w:hAnsi="Noto Sans" w:eastAsia="Aptos" w:cs="" w:cstheme="minorBidi" w:eastAsiaTheme="minorHAnsi"/>
          <w:color w:val="000000"/>
          <w:kern w:val="2"/>
          <w:sz w:val="22"/>
          <w:szCs w:val="22"/>
          <w:shd w:fill="FFFFFF" w:val="clear"/>
          <w:lang w:val="it-IT" w:eastAsia="en-US" w:bidi="ar-SA"/>
          <w14:ligatures w14:val="standardContextual"/>
        </w:rPr>
      </w:pPr>
      <w:r>
        <w:rPr>
          <w:rFonts w:eastAsia="Aptos" w:cs="" w:cstheme="minorBidi" w:eastAsiaTheme="minorHAnsi" w:ascii="Noto Sans" w:hAnsi="Noto Sans"/>
          <w:color w:val="000000"/>
          <w:kern w:val="2"/>
          <w:sz w:val="22"/>
          <w:szCs w:val="22"/>
          <w:shd w:fill="FFFFFF" w:val="clear"/>
          <w:lang w:val="it-IT" w:eastAsia="en-US" w:bidi="ar-SA"/>
          <w14:ligatures w14:val="standardContextual"/>
        </w:rPr>
      </w:r>
    </w:p>
    <w:p>
      <w:pPr>
        <w:pStyle w:val="BodyText"/>
        <w:widowControl/>
        <w:suppressAutoHyphens w:val="true"/>
        <w:bidi w:val="0"/>
        <w:spacing w:before="0" w:after="0"/>
        <w:jc w:val="both"/>
        <w:rPr>
          <w:rFonts w:ascii="Noto Sans" w:hAnsi="Noto Sans" w:eastAsia="Aptos" w:cs="" w:cstheme="minorBidi" w:eastAsiaTheme="minorHAnsi"/>
          <w:b/>
          <w:bCs/>
          <w:color w:val="auto"/>
          <w:kern w:val="2"/>
          <w:sz w:val="22"/>
          <w:szCs w:val="22"/>
          <w:shd w:fill="FFFFFF" w:val="clear"/>
          <w:lang w:val="it-IT" w:eastAsia="en-US" w:bidi="ar-SA"/>
          <w14:ligatures w14:val="standardContextual"/>
        </w:rPr>
      </w:pPr>
      <w:r>
        <w:rPr>
          <w:rFonts w:eastAsia="Aptos" w:cs="" w:ascii="Noto Sans" w:hAnsi="Noto Sans" w:cstheme="minorBidi" w:eastAsiaTheme="minorHAnsi"/>
          <w:b/>
          <w:bCs/>
          <w:color w:val="000000"/>
          <w:kern w:val="2"/>
          <w:sz w:val="22"/>
          <w:szCs w:val="22"/>
          <w:shd w:fill="FFFFFF" w:val="clear"/>
          <w:lang w:val="it-IT" w:eastAsia="en-US" w:bidi="ar-SA"/>
          <w14:ligatures w14:val="standardContextual"/>
        </w:rPr>
        <w:t>ART. 3</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000000"/>
          <w:kern w:val="2"/>
          <w:sz w:val="22"/>
          <w:szCs w:val="22"/>
          <w:shd w:fill="FFFFFF" w:val="clear"/>
          <w:lang w:val="it-IT" w:eastAsia="en-US" w:bidi="ar-SA"/>
          <w14:ligatures w14:val="standardContextual"/>
        </w:rPr>
        <w:t>CONDIZIONI ECONOMICHE DELL’INCARICO</w:t>
      </w:r>
      <w:r>
        <w:rPr>
          <w:rFonts w:eastAsia="Aptos" w:cs="" w:ascii="Noto Sans" w:hAnsi="Noto Sans" w:cstheme="minorBidi" w:eastAsiaTheme="minorHAnsi"/>
          <w:color w:val="000000"/>
          <w:kern w:val="2"/>
          <w:sz w:val="22"/>
          <w:szCs w:val="22"/>
          <w:shd w:fill="FFFFFF" w:val="clear"/>
          <w:lang w:val="it-IT" w:eastAsia="en-US" w:bidi="ar-SA"/>
          <w14:ligatures w14:val="standardContextual"/>
        </w:rPr>
        <w:t>:</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 xml:space="preserve">Il compenso lordo è stabilito dalla circolare Istat prot. n. 682107/25 del 27/03/2025 (Censimento) e dalla  circolare Istat prot. n. 1107380/25 del 24/05/2025 (indagine europea della Salute) ed è definito dall’attività di conduzione delle interviste, in misura proporzionale al numero dei questionari trattati e validati, differenziato per tipologia di questionario e per modalità di compilazione. Il compenso sarà soggetto alle trattenute dovute in base alle leggi vigenti. </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4</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auto"/>
          <w:kern w:val="2"/>
          <w:sz w:val="22"/>
          <w:szCs w:val="22"/>
          <w:lang w:val="it-IT" w:eastAsia="en-US" w:bidi="ar-SA"/>
          <w14:ligatures w14:val="standardContextual"/>
        </w:rPr>
        <w:t>OBBLIGHI DELL’INCARICATO:</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L’incaricato, in occasione delle rilevazioni, si obbliga all’osservanza di quanto di seguito specificato:</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ottemperare a tutte le disposizioni della già citata circolare Istat relativa all’indagine da svolgere;</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seguire le indicazioni di coordinamento fornite dall’Ufficio Unico di Statistica associato;</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rispettare la scadenza definita dall’ISTAT per quanto riguarda l’effettuazione dell’indagine e la consegna dei modelli di rilevazione;</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dare disponibilità alle richieste di chiarimenti e/o di integrazione dei questionari da parte dell’Ufficio Unico di Statistica associato che si occuperà della revisione dei questionari;</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dare disponibilità alla presenza nell’Ufficio Unico di Statistica associato in caso di revisioni e controlli di qualità da parte degli Ispettori ISTAT;</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anteporre il rispetto della legge e l’interesse pubblico agli interessi privati propri e altrui, ispirando le proprie decisioni ed i propri comportamenti alla cura dell’interesse pubblico;</w:t>
      </w:r>
    </w:p>
    <w:p>
      <w:pPr>
        <w:pStyle w:val="BodyText"/>
        <w:widowControl/>
        <w:numPr>
          <w:ilvl w:val="0"/>
          <w:numId w:val="3"/>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utilizzare il tesserino di riconoscimento appositamente predisposto, da mostrare alle famiglie al momento dell’intervista.</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cstheme="minorBidi" w:eastAsiaTheme="minorHAnsi" w:ascii="Noto Sans" w:hAnsi="Noto Sans"/>
          <w:b/>
          <w:bC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5</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PRECISAZIONI PARTICOLARI:</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L’incaricato potrà recedere dal presente incarico per sopravvenuti impedimenti che rendano impossibile la disponibilità, dandone formale e motivata comunicazione scritta al Comune di Budrio.</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Nel qual caso l’incaricato uscente dovrà offrire al nuovo incaricato la propria disponibilità al trasferimento delle conoscenze e delle peculiarità relative all’attività svolta precedentemente.</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6</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PENALI:</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Il Comune di Budrio potrà procedere a specifica contestazione che può dar luogo all’applicazione di penali, a seconda della gravità dell’inadempienza rispetto al risultato finale, a fronte delle seguenti carenze dell’incaricato:</w:t>
      </w:r>
    </w:p>
    <w:p>
      <w:pPr>
        <w:pStyle w:val="BodyText"/>
        <w:widowControl/>
        <w:numPr>
          <w:ilvl w:val="0"/>
          <w:numId w:val="4"/>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mancato rispetto delle scadenze definite dall’Istat e concordate con l’Ufficio Statistica per l’espletamento delle attività di rilevazione;</w:t>
      </w:r>
    </w:p>
    <w:p>
      <w:pPr>
        <w:pStyle w:val="BodyText"/>
        <w:widowControl/>
        <w:numPr>
          <w:ilvl w:val="0"/>
          <w:numId w:val="4"/>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mancato rispetto delle direttive impartite dall’Ufficio Statistica e dall’Istat riguardanti le modalità con le quali devono essere espletate le rilevazioni, con particolare riferimento alla riservatezza e comportamento;</w:t>
      </w:r>
    </w:p>
    <w:p>
      <w:pPr>
        <w:pStyle w:val="BodyText"/>
        <w:widowControl/>
        <w:numPr>
          <w:ilvl w:val="0"/>
          <w:numId w:val="4"/>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insufficiente qualità delle prestazioni fornite, documentata da specifiche e motivate contestazioni, sia da parte dell’Ufficio Unico di Statistica associato, sia da parte dell’Istat.</w:t>
      </w:r>
    </w:p>
    <w:p>
      <w:pPr>
        <w:pStyle w:val="BodyText"/>
        <w:widowControl/>
        <w:numPr>
          <w:ilvl w:val="0"/>
          <w:numId w:val="0"/>
        </w:numPr>
        <w:suppressAutoHyphens w:val="true"/>
        <w:bidi w:val="0"/>
        <w:spacing w:before="0" w:after="0"/>
        <w:ind w:hanging="0" w:left="438"/>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7</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PAGAMENTO:</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Le note presentate al termine dell’espletamento dell’indagine saranno pagate entro 60 giorni dalla data di presentazione e comunque a condizione che le somme siano state accreditate dall’Istat.</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8</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auto"/>
          <w:kern w:val="2"/>
          <w:sz w:val="22"/>
          <w:szCs w:val="22"/>
          <w:lang w:val="it-IT" w:eastAsia="en-US" w:bidi="ar-SA"/>
          <w14:ligatures w14:val="standardContextual"/>
        </w:rPr>
        <w:t>RISERVATEZZA DEI DATI</w:t>
      </w:r>
      <w:r>
        <w:rPr>
          <w:rFonts w:eastAsia="Aptos" w:cs="" w:ascii="Noto Sans" w:hAnsi="Noto Sans" w:cstheme="minorBidi" w:eastAsiaTheme="minorHAnsi"/>
          <w:color w:val="auto"/>
          <w:kern w:val="2"/>
          <w:sz w:val="22"/>
          <w:szCs w:val="22"/>
          <w:lang w:val="it-IT" w:eastAsia="en-US" w:bidi="ar-SA"/>
          <w14:ligatures w14:val="standardContextual"/>
        </w:rPr>
        <w:t>:</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L’incaricato delle rilevazioni è soggetto alla disciplina per la tutela della riservatezza dei dati secondo la normativa vigente, in particolare:</w:t>
      </w:r>
    </w:p>
    <w:p>
      <w:pPr>
        <w:pStyle w:val="BodyText"/>
        <w:widowControl/>
        <w:numPr>
          <w:ilvl w:val="0"/>
          <w:numId w:val="5"/>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Regolamento (UE) 2016/679 del Parlamento europeo e del Consiglio, del 27 aprile 2016, re- lativo alla protezione delle persone fisiche con riguardo al trattamento dei dati personali, non- ché alla libera circolazione di tali dati e che abroga la direttiva 95/46/CE (Regolamento gene- rale sulla protezione dei dati);</w:t>
      </w:r>
    </w:p>
    <w:p>
      <w:pPr>
        <w:pStyle w:val="BodyText"/>
        <w:widowControl/>
        <w:numPr>
          <w:ilvl w:val="0"/>
          <w:numId w:val="5"/>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Decreto legislativo 30 giugno 2003, n. 196, “Codice in materia di protezione dei dati persona- li” (G.U. n. 174 del 29 luglio 2003 - Supplemento Ordinario n. 123);</w:t>
      </w:r>
    </w:p>
    <w:p>
      <w:pPr>
        <w:pStyle w:val="BodyText"/>
        <w:widowControl/>
        <w:numPr>
          <w:ilvl w:val="0"/>
          <w:numId w:val="5"/>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Decreto legislativo 10 agosto 2018, n. 101 “Disposizioni per l'adeguamento della normativa nazionale alle disposizioni del regolamento (UE) 2016/679 del Parlamento europeo e del Consiglio, del 27 aprile 2016 (Regolamento generale sulla protezione dei dati)”;</w:t>
      </w:r>
    </w:p>
    <w:p>
      <w:pPr>
        <w:pStyle w:val="BodyText"/>
        <w:widowControl/>
        <w:numPr>
          <w:ilvl w:val="0"/>
          <w:numId w:val="5"/>
        </w:numPr>
        <w:suppressAutoHyphens w:val="true"/>
        <w:bidi w:val="0"/>
        <w:spacing w:before="0" w:after="0"/>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Regole deontologiche per trattamenti a fini statistici o di ricerca scientifica effettuati nell’ambi- to del Sistema statistico nazionale – Delibera del Garante per la protezione dei dati personali n. 514 del 19 dicembre 2018 (GU Serie generale n. 11 del 14-01-2019).</w:t>
      </w:r>
    </w:p>
    <w:p>
      <w:pPr>
        <w:pStyle w:val="BodyText"/>
        <w:widowControl/>
        <w:numPr>
          <w:ilvl w:val="0"/>
          <w:numId w:val="0"/>
        </w:numPr>
        <w:suppressAutoHyphens w:val="true"/>
        <w:bidi w:val="0"/>
        <w:spacing w:before="0" w:after="0"/>
        <w:ind w:hanging="0" w:left="438"/>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auto"/>
          <w:kern w:val="2"/>
          <w:sz w:val="22"/>
          <w:szCs w:val="22"/>
          <w:lang w:val="it-IT" w:eastAsia="en-US" w:bidi="ar-SA"/>
          <w14:ligatures w14:val="standardContextual"/>
        </w:rPr>
        <w:t>ART. 9</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bCs/>
          <w:color w:val="auto"/>
          <w:kern w:val="2"/>
          <w:sz w:val="22"/>
          <w:szCs w:val="22"/>
          <w:lang w:val="it-IT" w:eastAsia="en-US" w:bidi="ar-SA"/>
          <w14:ligatures w14:val="standardContextual"/>
        </w:rPr>
        <w:t>COPERTURA ASSICURATIVA:</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b w:val="false"/>
          <w:bCs w:val="false"/>
          <w:color w:val="auto"/>
          <w:kern w:val="2"/>
          <w:sz w:val="22"/>
          <w:szCs w:val="22"/>
          <w:lang w:val="it-IT" w:eastAsia="en-US" w:bidi="ar-SA"/>
          <w14:ligatures w14:val="standardContextual"/>
        </w:rPr>
        <w:t>L’Istat contrae una polizz</w:t>
      </w:r>
      <w:r>
        <w:rPr>
          <w:rFonts w:eastAsia="Aptos" w:cs="" w:ascii="Noto Sans" w:hAnsi="Noto Sans" w:cstheme="minorBidi" w:eastAsiaTheme="minorHAnsi"/>
          <w:color w:val="auto"/>
          <w:kern w:val="2"/>
          <w:sz w:val="22"/>
          <w:szCs w:val="22"/>
          <w:lang w:val="it-IT" w:eastAsia="en-US" w:bidi="ar-SA"/>
          <w14:ligatures w14:val="standardContextual"/>
        </w:rPr>
        <w:t>a di assicurazione cumulativa infortuni, a favore dei rilevatori, per il periodo durante il quale essi svolgono le rilevazioni statistiche. La copertura assicurativa è garantita da una polizza cumulativa di assicurazione, prestata dalla polizza n. 502260735 emessa dalla Compagnia assicuratrice ALLIANZ S.p.A.</w:t>
      </w:r>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Con riferimento alla normativa sulla riservatezza dei dati, sopra citata, il rilevatore incaricato autorizza il trattamento dei dati che lo riguardano, necessari alla stipula della polizza. Tale assicurazione vale esclusivamente per gli infortuni che comportano morte o invalidità permanente subiti nell’esercizio delle funzioni relative all’incarico sopra indicato e nel periodo di effettiva attività.</w:t>
      </w:r>
    </w:p>
    <w:p>
      <w:pPr>
        <w:pStyle w:val="BodyText"/>
        <w:widowControl/>
        <w:suppressAutoHyphens w:val="true"/>
        <w:bidi w:val="0"/>
        <w:spacing w:before="0" w:after="0"/>
        <w:ind w:left="1" w:right="366"/>
        <w:jc w:val="both"/>
        <w:rPr/>
      </w:pPr>
      <w:r>
        <w:rPr>
          <w:rFonts w:eastAsia="Aptos" w:cs="" w:ascii="Noto Sans" w:hAnsi="Noto Sans" w:cstheme="minorBidi" w:eastAsiaTheme="minorHAnsi"/>
          <w:color w:val="auto"/>
          <w:kern w:val="2"/>
          <w:sz w:val="22"/>
          <w:szCs w:val="22"/>
          <w:lang w:val="it-IT" w:eastAsia="en-US" w:bidi="ar-SA"/>
          <w14:ligatures w14:val="standardContextual"/>
        </w:rPr>
        <w:t xml:space="preserve">La polizza dispone che, in caso di sinistro, i rilevatori o il Comune di Budrio, quando ne viene informata dal rilevatore, dovranno darne immediata comunicazione all’indirizzo pec </w:t>
      </w:r>
      <w:hyperlink r:id="rId3">
        <w:r>
          <w:rPr>
            <w:rStyle w:val="Style"/>
            <w:rFonts w:eastAsia="Aptos" w:cs="" w:ascii="Noto Sans" w:hAnsi="Noto Sans" w:cstheme="minorBidi" w:eastAsiaTheme="minorHAnsi"/>
            <w:color w:val="auto"/>
            <w:kern w:val="2"/>
            <w:sz w:val="22"/>
            <w:szCs w:val="22"/>
            <w:lang w:val="it-IT" w:eastAsia="en-US" w:bidi="ar-SA"/>
            <w14:ligatures w14:val="standardContextual"/>
          </w:rPr>
          <w:t>affariamministrativi@postacert.istat.it</w:t>
        </w:r>
      </w:hyperlink>
      <w:r>
        <w:rPr>
          <w:rFonts w:eastAsia="Aptos" w:cs="" w:ascii="Noto Sans" w:hAnsi="Noto Sans" w:cstheme="minorBidi" w:eastAsiaTheme="minorHAnsi"/>
          <w:color w:val="auto"/>
          <w:kern w:val="2"/>
          <w:sz w:val="22"/>
          <w:szCs w:val="22"/>
          <w:lang w:val="it-IT" w:eastAsia="en-US" w:bidi="ar-SA"/>
          <w14:ligatures w14:val="standardContextual"/>
        </w:rPr>
        <w:t xml:space="preserve"> e all’indirizzo di posta elettronica </w:t>
      </w:r>
      <w:hyperlink r:id="rId4">
        <w:r>
          <w:rPr>
            <w:rStyle w:val="Style"/>
            <w:rFonts w:eastAsia="Aptos" w:cs="" w:ascii="Noto Sans" w:hAnsi="Noto Sans" w:cstheme="minorBidi" w:eastAsiaTheme="minorHAnsi"/>
            <w:color w:val="auto"/>
            <w:kern w:val="2"/>
            <w:sz w:val="22"/>
            <w:szCs w:val="22"/>
            <w:lang w:val="it-IT" w:eastAsia="en-US" w:bidi="ar-SA"/>
            <w14:ligatures w14:val="standardContextual"/>
          </w:rPr>
          <w:t>dcap@istat.it.</w:t>
        </w:r>
      </w:hyperlink>
    </w:p>
    <w:p>
      <w:pPr>
        <w:pStyle w:val="BodyText"/>
        <w:widowControl/>
        <w:suppressAutoHyphens w:val="true"/>
        <w:bidi w:val="0"/>
        <w:spacing w:before="0" w:after="0"/>
        <w:ind w:left="1" w:right="366"/>
        <w:jc w:val="both"/>
        <w:rPr>
          <w:rFonts w:ascii="Noto Sans" w:hAnsi="Noto Sans"/>
          <w:sz w:val="22"/>
          <w:szCs w:val="22"/>
        </w:rPr>
      </w:pPr>
      <w:r>
        <w:rPr>
          <w:rFonts w:eastAsia="Aptos" w:cs="" w:ascii="Noto Sans" w:hAnsi="Noto Sans" w:cstheme="minorBidi" w:eastAsiaTheme="minorHAnsi"/>
          <w:color w:val="auto"/>
          <w:kern w:val="2"/>
          <w:sz w:val="22"/>
          <w:szCs w:val="22"/>
          <w:lang w:val="it-IT" w:eastAsia="en-US" w:bidi="ar-SA"/>
          <w14:ligatures w14:val="standardContextual"/>
        </w:rPr>
        <w:t>Ogni aggiornamento della prognosi che eventualmente allunghi il periodo di inabilità temporanea prevista da precedente certificato, va comunicato di volta in volta fino all’avvenuta guarigione o all'accertamento della natura "permanente" dell'invalidità stessa.</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Qualora l’infortunio cagioni la morte dell’Assicurato o quando questa sopravvenga durante il periodo di cura, l’evento dovrà essere comunicato alla Società assicuratrice, nel più breve tempo possibile, da parte di chiunque vi abbia interesse. I sinistri verranno gestiti da apposita compagnia di consulenza e intermediazione assicurativa, i cui dati verranno comunicati in risposta ad ogni segnalazione di sinistro ricevuto.</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10</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CONTROVERSIE:</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ascii="Noto Sans" w:hAnsi="Noto Sans" w:cstheme="minorBidi" w:eastAsiaTheme="minorHAnsi"/>
          <w:color w:val="auto"/>
          <w:kern w:val="2"/>
          <w:sz w:val="22"/>
          <w:szCs w:val="22"/>
          <w:lang w:val="it-IT" w:eastAsia="en-US" w:bidi="ar-SA"/>
          <w14:ligatures w14:val="standardContextual"/>
        </w:rPr>
        <w:t>Le controversie riguardanti l’applicazione del contratto sono di competenza del Foro di Bologna.</w:t>
      </w:r>
    </w:p>
    <w:p>
      <w:pPr>
        <w:pStyle w:val="BodyText"/>
        <w:widowControl/>
        <w:suppressAutoHyphens w:val="true"/>
        <w:bidi w:val="0"/>
        <w:spacing w:before="0" w:after="0"/>
        <w:ind w:left="1" w:right="366"/>
        <w:jc w:val="both"/>
        <w:rPr>
          <w:rFonts w:ascii="Noto Sans" w:hAnsi="Noto Sans" w:eastAsia="Aptos" w:cs="" w:cstheme="minorBidi" w:eastAsiaTheme="minorHAnsi"/>
          <w:color w:val="auto"/>
          <w:kern w:val="2"/>
          <w:sz w:val="22"/>
          <w:szCs w:val="22"/>
          <w:lang w:val="it-IT" w:eastAsia="en-US" w:bidi="ar-SA"/>
          <w14:ligatures w14:val="standardContextual"/>
        </w:rPr>
      </w:pPr>
      <w:r>
        <w:rPr>
          <w:rFonts w:eastAsia="Aptos" w:cs="" w:cstheme="minorBidi" w:eastAsiaTheme="minorHAnsi" w:ascii="Noto Sans" w:hAnsi="Noto Sans"/>
          <w:color w:val="auto"/>
          <w:kern w:val="2"/>
          <w:sz w:val="22"/>
          <w:szCs w:val="22"/>
          <w:lang w:val="it-IT" w:eastAsia="en-US" w:bidi="ar-SA"/>
          <w14:ligatures w14:val="standardContextual"/>
        </w:rPr>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ART. 11</w:t>
      </w:r>
    </w:p>
    <w:p>
      <w:pPr>
        <w:pStyle w:val="BodyText"/>
        <w:widowControl/>
        <w:suppressAutoHyphens w:val="true"/>
        <w:bidi w:val="0"/>
        <w:spacing w:before="0" w:after="0"/>
        <w:ind w:left="1" w:right="366"/>
        <w:jc w:val="both"/>
        <w:rPr>
          <w:rFonts w:ascii="Noto Sans" w:hAnsi="Noto Sans" w:eastAsia="Aptos" w:cs="" w:cstheme="minorBidi" w:eastAsiaTheme="minorHAnsi"/>
          <w:b/>
          <w:bCs/>
          <w:color w:val="auto"/>
          <w:kern w:val="2"/>
          <w:sz w:val="22"/>
          <w:szCs w:val="22"/>
          <w:lang w:val="it-IT" w:eastAsia="en-US" w:bidi="ar-SA"/>
          <w14:ligatures w14:val="standardContextual"/>
        </w:rPr>
      </w:pPr>
      <w:r>
        <w:rPr>
          <w:rFonts w:eastAsia="Aptos" w:cs="" w:ascii="Noto Sans" w:hAnsi="Noto Sans" w:cstheme="minorBidi" w:eastAsiaTheme="minorHAnsi"/>
          <w:b/>
          <w:bCs/>
          <w:color w:val="auto"/>
          <w:kern w:val="2"/>
          <w:sz w:val="22"/>
          <w:szCs w:val="22"/>
          <w:lang w:val="it-IT" w:eastAsia="en-US" w:bidi="ar-SA"/>
          <w14:ligatures w14:val="standardContextual"/>
        </w:rPr>
        <w:t>CLAUSOLA FINALE:</w:t>
      </w:r>
    </w:p>
    <w:p>
      <w:pPr>
        <w:pStyle w:val="BodyText"/>
        <w:spacing w:before="0" w:after="0"/>
        <w:ind w:left="1" w:right="413"/>
        <w:jc w:val="both"/>
        <w:rPr>
          <w:rFonts w:ascii="Noto Sans" w:hAnsi="Noto Sans"/>
          <w:sz w:val="22"/>
          <w:szCs w:val="22"/>
        </w:rPr>
      </w:pPr>
      <w:r>
        <w:rPr>
          <w:rFonts w:ascii="Noto Sans" w:hAnsi="Noto Sans"/>
          <w:sz w:val="22"/>
          <w:szCs w:val="22"/>
        </w:rPr>
        <w:t>Si dà atto tra le parti che il presente disciplinare di incarico sarà registrato solo in caso d’uso e</w:t>
      </w:r>
      <w:r>
        <w:rPr>
          <w:rFonts w:ascii="Noto Sans" w:hAnsi="Noto Sans"/>
          <w:spacing w:val="40"/>
          <w:sz w:val="22"/>
          <w:szCs w:val="22"/>
        </w:rPr>
        <w:t xml:space="preserve"> </w:t>
      </w:r>
      <w:r>
        <w:rPr>
          <w:rFonts w:ascii="Noto Sans" w:hAnsi="Noto Sans"/>
          <w:sz w:val="22"/>
          <w:szCs w:val="22"/>
        </w:rPr>
        <w:t>le spese inerenti sono a carico dell’incaricato.</w:t>
      </w:r>
    </w:p>
    <w:p>
      <w:pPr>
        <w:pStyle w:val="BodyText"/>
        <w:spacing w:before="0" w:after="0"/>
        <w:ind w:left="1" w:right="413"/>
        <w:jc w:val="both"/>
        <w:rPr>
          <w:rFonts w:ascii="Noto Sans" w:hAnsi="Noto Sans"/>
          <w:sz w:val="22"/>
          <w:szCs w:val="22"/>
        </w:rPr>
      </w:pPr>
      <w:r>
        <w:rPr>
          <w:rFonts w:ascii="Noto Sans" w:hAnsi="Noto Sans"/>
          <w:sz w:val="22"/>
          <w:szCs w:val="22"/>
        </w:rPr>
      </w:r>
    </w:p>
    <w:p>
      <w:pPr>
        <w:pStyle w:val="BodyText"/>
        <w:spacing w:before="0" w:after="0"/>
        <w:ind w:left="1" w:right="413"/>
        <w:jc w:val="both"/>
        <w:rPr>
          <w:rFonts w:ascii="Noto Sans" w:hAnsi="Noto Sans"/>
          <w:sz w:val="22"/>
          <w:szCs w:val="22"/>
        </w:rPr>
      </w:pPr>
      <w:r>
        <w:rPr>
          <w:rFonts w:ascii="Noto Sans" w:hAnsi="Noto Sans"/>
          <w:sz w:val="22"/>
          <w:szCs w:val="22"/>
        </w:rPr>
      </w:r>
    </w:p>
    <w:p>
      <w:pPr>
        <w:pStyle w:val="BodyText"/>
        <w:tabs>
          <w:tab w:val="clear" w:pos="709"/>
          <w:tab w:val="left" w:pos="2643" w:leader="none"/>
        </w:tabs>
        <w:spacing w:lineRule="auto" w:line="370" w:before="0" w:after="0"/>
        <w:ind w:left="1" w:right="6757"/>
        <w:jc w:val="both"/>
        <w:rPr/>
      </w:pPr>
      <w:r>
        <w:rPr>
          <w:rFonts w:ascii="Noto Sans" w:hAnsi="Noto Sans"/>
          <w:sz w:val="22"/>
          <w:szCs w:val="22"/>
        </w:rPr>
        <w:t>Letto,</w:t>
      </w:r>
      <w:r>
        <w:rPr>
          <w:rFonts w:ascii="Noto Sans" w:hAnsi="Noto Sans"/>
          <w:spacing w:val="-14"/>
          <w:sz w:val="22"/>
          <w:szCs w:val="22"/>
        </w:rPr>
        <w:t xml:space="preserve"> </w:t>
      </w:r>
      <w:r>
        <w:rPr>
          <w:rFonts w:ascii="Noto Sans" w:hAnsi="Noto Sans"/>
          <w:sz w:val="22"/>
          <w:szCs w:val="22"/>
        </w:rPr>
        <w:t>approvato</w:t>
      </w:r>
      <w:r>
        <w:rPr>
          <w:rFonts w:ascii="Noto Sans" w:hAnsi="Noto Sans"/>
          <w:spacing w:val="-13"/>
          <w:sz w:val="22"/>
          <w:szCs w:val="22"/>
        </w:rPr>
        <w:t xml:space="preserve"> </w:t>
      </w:r>
      <w:r>
        <w:rPr>
          <w:rFonts w:ascii="Noto Sans" w:hAnsi="Noto Sans"/>
          <w:sz w:val="22"/>
          <w:szCs w:val="22"/>
        </w:rPr>
        <w:t>e</w:t>
      </w:r>
      <w:r>
        <w:rPr>
          <w:rFonts w:ascii="Noto Sans" w:hAnsi="Noto Sans"/>
          <w:spacing w:val="-13"/>
          <w:sz w:val="22"/>
          <w:szCs w:val="22"/>
        </w:rPr>
        <w:t xml:space="preserve"> </w:t>
      </w:r>
      <w:r>
        <w:rPr>
          <w:rFonts w:ascii="Noto Sans" w:hAnsi="Noto Sans"/>
          <w:sz w:val="22"/>
          <w:szCs w:val="22"/>
        </w:rPr>
        <w:t xml:space="preserve">sottoscritto. Budrio, </w:t>
      </w:r>
      <w:r>
        <w:rPr>
          <w:rFonts w:ascii="Noto Sans" w:hAnsi="Noto Sans"/>
          <w:sz w:val="22"/>
          <w:szCs w:val="22"/>
          <w:u w:val="single"/>
        </w:rPr>
        <w:tab/>
      </w:r>
    </w:p>
    <w:p>
      <w:pPr>
        <w:pStyle w:val="BodyText"/>
        <w:spacing w:lineRule="exact" w:line="252" w:before="0" w:after="0"/>
        <w:jc w:val="both"/>
        <w:rPr/>
      </w:pPr>
      <w:r>
        <w:rPr>
          <w:rFonts w:ascii="Noto Sans" w:hAnsi="Noto Sans"/>
          <w:sz w:val="22"/>
          <w:szCs w:val="22"/>
        </w:rPr>
        <w:t>per</w:t>
      </w:r>
      <w:r>
        <w:rPr>
          <w:rFonts w:ascii="Noto Sans" w:hAnsi="Noto Sans"/>
          <w:spacing w:val="-1"/>
          <w:sz w:val="22"/>
          <w:szCs w:val="22"/>
        </w:rPr>
        <w:t xml:space="preserve"> </w:t>
      </w:r>
      <w:r>
        <w:rPr>
          <w:rFonts w:ascii="Noto Sans" w:hAnsi="Noto Sans"/>
          <w:spacing w:val="-2"/>
          <w:sz w:val="22"/>
          <w:szCs w:val="22"/>
        </w:rPr>
        <w:t>accettazione:</w:t>
      </w:r>
    </w:p>
    <w:p>
      <w:pPr>
        <w:pStyle w:val="BodyText"/>
        <w:spacing w:lineRule="exact" w:line="252" w:before="0" w:after="0"/>
        <w:ind w:left="6450" w:right="0"/>
        <w:jc w:val="left"/>
        <w:rPr/>
      </w:pPr>
      <w:r>
        <w:rPr>
          <w:rFonts w:ascii="Noto Sans" w:hAnsi="Noto Sans"/>
          <w:sz w:val="22"/>
          <w:szCs w:val="22"/>
        </w:rPr>
        <w:t xml:space="preserve">Il </w:t>
      </w:r>
      <w:r>
        <w:rPr>
          <w:rFonts w:ascii="Noto Sans" w:hAnsi="Noto Sans"/>
          <w:spacing w:val="-2"/>
          <w:sz w:val="22"/>
          <w:szCs w:val="22"/>
        </w:rPr>
        <w:t>Responsabile</w:t>
      </w:r>
    </w:p>
    <w:p>
      <w:pPr>
        <w:pStyle w:val="BodyText"/>
        <w:tabs>
          <w:tab w:val="clear" w:pos="709"/>
          <w:tab w:val="left" w:pos="6143" w:leader="none"/>
          <w:tab w:val="left" w:pos="6181" w:leader="none"/>
        </w:tabs>
        <w:spacing w:before="0" w:after="0"/>
        <w:ind w:hanging="372" w:left="956" w:right="1398"/>
        <w:jc w:val="left"/>
        <w:rPr/>
      </w:pPr>
      <w:r>
        <w:rPr>
          <w:rFonts w:ascii="Noto Sans" w:hAnsi="Noto Sans"/>
          <w:sz w:val="22"/>
          <w:szCs w:val="22"/>
        </w:rPr>
        <w:t>Il rilevatore incaricato</w:t>
        <w:tab/>
        <w:t>Settore</w:t>
      </w:r>
      <w:r>
        <w:rPr>
          <w:rFonts w:ascii="Noto Sans" w:hAnsi="Noto Sans"/>
          <w:spacing w:val="-16"/>
          <w:sz w:val="22"/>
          <w:szCs w:val="22"/>
        </w:rPr>
        <w:t xml:space="preserve"> </w:t>
      </w:r>
      <w:r>
        <w:rPr>
          <w:rFonts w:ascii="Noto Sans" w:hAnsi="Noto Sans"/>
          <w:sz w:val="22"/>
          <w:szCs w:val="22"/>
        </w:rPr>
        <w:t>Affari</w:t>
      </w:r>
      <w:r>
        <w:rPr>
          <w:rFonts w:ascii="Noto Sans" w:hAnsi="Noto Sans"/>
          <w:spacing w:val="-15"/>
          <w:sz w:val="22"/>
          <w:szCs w:val="22"/>
        </w:rPr>
        <w:t xml:space="preserve"> </w:t>
      </w:r>
      <w:r>
        <w:rPr>
          <w:rFonts w:ascii="Noto Sans" w:hAnsi="Noto Sans"/>
          <w:sz w:val="22"/>
          <w:szCs w:val="22"/>
        </w:rPr>
        <w:t xml:space="preserve">Generali </w:t>
      </w:r>
    </w:p>
    <w:p>
      <w:pPr>
        <w:pStyle w:val="BodyText"/>
        <w:tabs>
          <w:tab w:val="clear" w:pos="709"/>
          <w:tab w:val="left" w:pos="6143" w:leader="none"/>
          <w:tab w:val="left" w:pos="6181" w:leader="none"/>
        </w:tabs>
        <w:spacing w:before="0" w:after="0"/>
        <w:ind w:hanging="372" w:left="956" w:right="1398"/>
        <w:jc w:val="left"/>
        <w:rPr/>
      </w:pPr>
      <w:r>
        <w:rPr>
          <w:rFonts w:ascii="Noto Sans" w:hAnsi="Noto Sans"/>
          <w:sz w:val="22"/>
          <w:szCs w:val="22"/>
        </w:rPr>
        <w:t xml:space="preserve">        </w:t>
      </w:r>
      <w:r>
        <w:rPr>
          <w:rFonts w:ascii="Noto Sans" w:hAnsi="Noto Sans"/>
          <w:sz w:val="22"/>
          <w:szCs w:val="22"/>
        </w:rPr>
        <w:t>Bruno Baraldi                                                          Dott.ssa Gianpaola di Summa</w:t>
      </w:r>
    </w:p>
    <w:p>
      <w:pPr>
        <w:pStyle w:val="BodyText"/>
        <w:spacing w:before="0" w:after="0"/>
        <w:ind w:left="0" w:right="0"/>
        <w:jc w:val="left"/>
        <w:rPr>
          <w:sz w:val="20"/>
          <w:szCs w:val="20"/>
        </w:rPr>
      </w:pPr>
      <w:r>
        <w:rPr>
          <w:sz w:val="20"/>
          <w:szCs w:val="20"/>
        </w:rPr>
      </w:r>
    </w:p>
    <w:p>
      <w:pPr>
        <w:pStyle w:val="BodyText"/>
        <w:spacing w:before="0" w:after="0"/>
        <w:ind w:left="0" w:right="0"/>
        <w:jc w:val="left"/>
        <w:rPr>
          <w:sz w:val="20"/>
        </w:rPr>
      </w:pPr>
      <w:r>
        <w:rPr>
          <w:sz w:val="20"/>
        </w:rPr>
      </w:r>
    </w:p>
    <w:p>
      <w:pPr>
        <w:pStyle w:val="BodyText"/>
        <w:spacing w:before="0" w:after="0"/>
        <w:ind w:left="0" w:right="0"/>
        <w:jc w:val="left"/>
        <w:rPr>
          <w:sz w:val="20"/>
        </w:rPr>
      </w:pPr>
      <w:r>
        <w:rPr>
          <w:sz w:val="20"/>
        </w:rPr>
        <mc:AlternateContent>
          <mc:Choice Requires="wps">
            <w:drawing>
              <wp:anchor behindDoc="1" distT="0" distB="635" distL="0" distR="0" simplePos="0" locked="0" layoutInCell="0" allowOverlap="1" relativeHeight="14">
                <wp:simplePos x="0" y="0"/>
                <wp:positionH relativeFrom="page">
                  <wp:posOffset>1094740</wp:posOffset>
                </wp:positionH>
                <wp:positionV relativeFrom="paragraph">
                  <wp:posOffset>183515</wp:posOffset>
                </wp:positionV>
                <wp:extent cx="1710055" cy="1270"/>
                <wp:effectExtent l="0" t="4445" r="0" b="3175"/>
                <wp:wrapTopAndBottom/>
                <wp:docPr id="1" name="Graphic 9"/>
                <a:graphic xmlns:a="http://schemas.openxmlformats.org/drawingml/2006/main">
                  <a:graphicData uri="http://schemas.microsoft.com/office/word/2010/wordprocessingShape">
                    <wps:wsp>
                      <wps:cNvSpPr/>
                      <wps:spPr>
                        <a:xfrm>
                          <a:off x="0" y="0"/>
                          <a:ext cx="1710000" cy="1440"/>
                        </a:xfrm>
                        <a:custGeom>
                          <a:avLst/>
                          <a:gdLst>
                            <a:gd name="textAreaLeft" fmla="*/ 0 w 969480"/>
                            <a:gd name="textAreaRight" fmla="*/ 971640 w 969480"/>
                            <a:gd name="textAreaTop" fmla="*/ 0 h 720"/>
                            <a:gd name="textAreaBottom" fmla="*/ 6840 h 720"/>
                          </a:gdLst>
                          <a:ahLst/>
                          <a:cxnLst/>
                          <a:rect l="textAreaLeft" t="textAreaTop" r="textAreaRight" b="textAreaBottom"/>
                          <a:pathLst>
                            <a:path w="1710055" h="0">
                              <a:moveTo>
                                <a:pt x="0" y="0"/>
                              </a:moveTo>
                              <a:lnTo>
                                <a:pt x="1709949" y="0"/>
                              </a:lnTo>
                            </a:path>
                          </a:pathLst>
                        </a:custGeom>
                        <a:noFill/>
                        <a:ln w="900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635" distL="0" distR="0" simplePos="0" locked="0" layoutInCell="0" allowOverlap="1" relativeHeight="15">
                <wp:simplePos x="0" y="0"/>
                <wp:positionH relativeFrom="page">
                  <wp:posOffset>4335780</wp:posOffset>
                </wp:positionH>
                <wp:positionV relativeFrom="paragraph">
                  <wp:posOffset>183515</wp:posOffset>
                </wp:positionV>
                <wp:extent cx="2339340" cy="1270"/>
                <wp:effectExtent l="0" t="4445" r="0" b="3175"/>
                <wp:wrapTopAndBottom/>
                <wp:docPr id="2" name="Graphic 10"/>
                <a:graphic xmlns:a="http://schemas.openxmlformats.org/drawingml/2006/main">
                  <a:graphicData uri="http://schemas.microsoft.com/office/word/2010/wordprocessingShape">
                    <wps:wsp>
                      <wps:cNvSpPr/>
                      <wps:spPr>
                        <a:xfrm>
                          <a:off x="0" y="0"/>
                          <a:ext cx="2339280" cy="1440"/>
                        </a:xfrm>
                        <a:custGeom>
                          <a:avLst/>
                          <a:gdLst>
                            <a:gd name="textAreaLeft" fmla="*/ 0 w 1326240"/>
                            <a:gd name="textAreaRight" fmla="*/ 1328400 w 1326240"/>
                            <a:gd name="textAreaTop" fmla="*/ 0 h 720"/>
                            <a:gd name="textAreaBottom" fmla="*/ 6840 h 720"/>
                          </a:gdLst>
                          <a:ahLst/>
                          <a:cxnLst/>
                          <a:rect l="textAreaLeft" t="textAreaTop" r="textAreaRight" b="textAreaBottom"/>
                          <a:pathLst>
                            <a:path w="2339340" h="0">
                              <a:moveTo>
                                <a:pt x="0" y="0"/>
                              </a:moveTo>
                              <a:lnTo>
                                <a:pt x="2339158" y="0"/>
                              </a:lnTo>
                            </a:path>
                          </a:pathLst>
                        </a:custGeom>
                        <a:noFill/>
                        <a:ln w="900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before="0" w:after="0"/>
        <w:jc w:val="both"/>
        <w:rPr>
          <w:rFonts w:ascii="Arial" w:hAnsi="Arial" w:cs="Arial"/>
          <w:sz w:val="22"/>
          <w:szCs w:val="22"/>
        </w:rPr>
      </w:pPr>
      <w:r>
        <w:rPr>
          <w:rFonts w:cs="Arial" w:ascii="Arial" w:hAnsi="Arial"/>
          <w:sz w:val="22"/>
          <w:szCs w:val="22"/>
        </w:rPr>
      </w:r>
    </w:p>
    <w:p>
      <w:pPr>
        <w:pStyle w:val="Paragrafobase"/>
        <w:tabs>
          <w:tab w:val="clear" w:pos="709"/>
          <w:tab w:val="left" w:pos="1587" w:leader="none"/>
        </w:tabs>
        <w:spacing w:lineRule="auto" w:line="240" w:before="0" w:after="0"/>
        <w:ind w:left="1587"/>
        <w:rPr>
          <w:rFonts w:ascii="Noto Sans" w:hAnsi="Noto Sans" w:cs="Noto Sans"/>
          <w:sz w:val="20"/>
          <w:szCs w:val="20"/>
        </w:rPr>
      </w:pPr>
      <w:r>
        <w:rPr>
          <w:rFonts w:cs="Noto Sans" w:ascii="Noto Sans" w:hAnsi="Noto Sans"/>
          <w:sz w:val="20"/>
          <w:szCs w:val="20"/>
        </w:rPr>
      </w:r>
    </w:p>
    <w:p>
      <w:pPr>
        <w:pStyle w:val="Paragrafobase"/>
        <w:tabs>
          <w:tab w:val="clear" w:pos="709"/>
          <w:tab w:val="left" w:pos="1587" w:leader="none"/>
        </w:tabs>
        <w:spacing w:lineRule="auto" w:line="240" w:before="0" w:after="0"/>
        <w:ind w:left="1587"/>
        <w:rPr/>
      </w:pPr>
      <w:r>
        <w:rPr>
          <w:rFonts w:cs="Noto Sans" w:ascii="Noto Sans" w:hAnsi="Noto Sans"/>
          <w:sz w:val="20"/>
          <w:szCs w:val="20"/>
        </w:rPr>
        <w:t xml:space="preserve"> </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794" w:right="794" w:gutter="0" w:header="794" w:top="3126" w:footer="680" w:bottom="1742"/>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Symbol">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MinionPro-Regular">
    <w:charset w:val="00"/>
    <w:family w:val="roman"/>
    <w:pitch w:val="variable"/>
  </w:font>
  <w:font w:name="Noto Sans">
    <w:charset w:val="00"/>
    <w:family w:val="swiss"/>
    <w:pitch w:val="variable"/>
  </w:font>
  <w:font w:name="Noto Serif Myanmar SemBd">
    <w:charset w:val="00"/>
    <w:family w:val="roman"/>
    <w:pitch w:val="variable"/>
  </w:font>
  <w:font w:name="Cambria">
    <w:charset w:val="00"/>
    <w:family w:val="roman"/>
    <w:pitch w:val="variable"/>
  </w:font>
  <w:font w:name="Noto Serif Myanmar">
    <w:charset w:val="00"/>
    <w:family w:val="roman"/>
    <w:pitch w:val="variable"/>
  </w:font>
  <w:font w:name="NotoSerif-Regular">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819"/>
        <w:tab w:val="clear" w:pos="9638"/>
        <w:tab w:val="left" w:pos="2778" w:leader="none"/>
        <w:tab w:val="left" w:pos="6350" w:leader="none"/>
      </w:tabs>
      <w:rPr>
        <w:rFonts w:ascii="Noto Serif Myanmar" w:hAnsi="Noto Serif Myanmar" w:cs="Noto Serif Myanmar"/>
        <w:b/>
        <w:bCs/>
        <w:color w:val="6D6E6C"/>
        <w:sz w:val="16"/>
        <w:szCs w:val="16"/>
      </w:rPr>
    </w:pPr>
    <w:r>
      <mc:AlternateContent>
        <mc:Choice Requires="wps">
          <w:drawing>
            <wp:anchor behindDoc="1" distT="3810" distB="3810" distL="0" distR="635" simplePos="0" locked="0" layoutInCell="0" allowOverlap="1" relativeHeight="13" wp14:anchorId="4FC1F205">
              <wp:simplePos x="0" y="0"/>
              <wp:positionH relativeFrom="page">
                <wp:posOffset>504190</wp:posOffset>
              </wp:positionH>
              <wp:positionV relativeFrom="page">
                <wp:posOffset>9720580</wp:posOffset>
              </wp:positionV>
              <wp:extent cx="6551930" cy="635"/>
              <wp:effectExtent l="0" t="3810" r="635" b="3810"/>
              <wp:wrapNone/>
              <wp:docPr id="5" name="Connettore 1 4"/>
              <a:graphic xmlns:a="http://schemas.openxmlformats.org/drawingml/2006/main">
                <a:graphicData uri="http://schemas.microsoft.com/office/word/2010/wordprocessingShape">
                  <wps:wsp>
                    <wps:cNvSpPr/>
                    <wps:spPr>
                      <a:xfrm>
                        <a:off x="0" y="0"/>
                        <a:ext cx="6552000" cy="720"/>
                      </a:xfrm>
                      <a:prstGeom prst="line">
                        <a:avLst/>
                      </a:prstGeom>
                      <a:ln>
                        <a:solidFill>
                          <a:srgbClr val="6d6e6c"/>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39.7pt,765.4pt" to="555.55pt,765.4pt" ID="Connettore 1 4" stroked="t" o:allowincell="f" style="position:absolute;mso-position-horizontal-relative:page;mso-position-vertical-relative:page" wp14:anchorId="4FC1F205">
              <v:stroke color="#6d6e6c" weight="6480" joinstyle="miter" endcap="flat"/>
              <v:fill o:detectmouseclick="t" on="false"/>
              <w10:wrap type="none"/>
            </v:line>
          </w:pict>
        </mc:Fallback>
      </mc:AlternateContent>
    </w:r>
    <w:r>
      <w:rPr>
        <w:rFonts w:cs="Noto Serif Myanmar" w:ascii="Noto Serif Myanmar" w:hAnsi="Noto Serif Myanmar"/>
        <w:b/>
        <w:bCs/>
        <w:color w:val="6D6E6C"/>
        <w:sz w:val="16"/>
        <w:szCs w:val="16"/>
      </w:rPr>
      <w:t>Comune di Budrio</w:t>
    </w:r>
  </w:p>
  <w:p>
    <w:pPr>
      <w:pStyle w:val="Paragrafobase"/>
      <w:tabs>
        <w:tab w:val="clear" w:pos="709"/>
        <w:tab w:val="left" w:pos="2778" w:leader="none"/>
        <w:tab w:val="left" w:pos="6350" w:leader="none"/>
      </w:tabs>
      <w:rPr>
        <w:rFonts w:ascii="NotoSerif-Regular" w:hAnsi="NotoSerif-Regular" w:cs="NotoSerif-Regular"/>
        <w:color w:val="76787A"/>
        <w:sz w:val="16"/>
        <w:szCs w:val="16"/>
      </w:rPr>
    </w:pPr>
    <w:r>
      <w:rPr>
        <w:rFonts w:cs="Noto Serif Myanmar" w:ascii="Noto Serif Myanmar" w:hAnsi="Noto Serif Myanmar"/>
        <w:color w:val="6D6E6C"/>
        <w:sz w:val="16"/>
        <w:szCs w:val="16"/>
      </w:rPr>
      <w:t>Piazza Filopanti, 11</w:t>
      <w:tab/>
    </w:r>
    <w:r>
      <w:rPr>
        <w:rFonts w:cs="Noto Serif Myanmar" w:ascii="Cambria" w:hAnsi="Cambria"/>
        <w:color w:val="6D6E6C"/>
        <w:sz w:val="16"/>
        <w:szCs w:val="16"/>
      </w:rPr>
      <w:t>Tel +39 051 6928111 / Fax +39 051 808106</w:t>
      <w:tab/>
    </w:r>
    <w:r>
      <w:rPr>
        <w:rFonts w:cs="Noto Serif Myanmar" w:ascii="Noto Serif Myanmar" w:hAnsi="Noto Serif Myanmar"/>
        <w:color w:val="6D6E6C"/>
        <w:sz w:val="16"/>
        <w:szCs w:val="16"/>
      </w:rPr>
      <w:t xml:space="preserve">Codice Fiscale </w:t>
    </w:r>
    <w:r>
      <w:rPr>
        <w:rFonts w:cs="Noto Serif Myanmar" w:ascii="Noto Serif Myanmar" w:hAnsi="Noto Serif Myanmar"/>
        <w:color w:val="76787A"/>
        <w:sz w:val="16"/>
        <w:szCs w:val="16"/>
      </w:rPr>
      <w:t>00469720379</w:t>
    </w:r>
  </w:p>
  <w:p>
    <w:pPr>
      <w:pStyle w:val="Paragrafobase"/>
      <w:tabs>
        <w:tab w:val="clear" w:pos="709"/>
        <w:tab w:val="left" w:pos="2778" w:leader="none"/>
        <w:tab w:val="left" w:pos="6350" w:leader="none"/>
      </w:tabs>
      <w:rPr>
        <w:rFonts w:ascii="Noto Serif Myanmar" w:hAnsi="Noto Serif Myanmar" w:cs="Noto Serif Myanmar"/>
        <w:color w:val="76787A"/>
        <w:sz w:val="16"/>
        <w:szCs w:val="16"/>
      </w:rPr>
    </w:pPr>
    <w:r>
      <w:rPr>
        <w:rFonts w:cs="Noto Serif Myanmar" w:ascii="Noto Serif Myanmar" w:hAnsi="Noto Serif Myanmar"/>
        <w:color w:val="6D6E6C"/>
        <w:sz w:val="16"/>
        <w:szCs w:val="16"/>
        <w:lang w:val="en-US"/>
      </w:rPr>
      <w:t>40054 Budrio (BO) Italy</w:t>
      <w:tab/>
    </w:r>
    <w:r>
      <w:rPr>
        <w:rFonts w:cs="Noto Serif Myanmar" w:ascii="Cambria" w:hAnsi="Cambria"/>
        <w:color w:val="6D6E6C"/>
        <w:sz w:val="16"/>
        <w:szCs w:val="16"/>
        <w:lang w:val="en-US"/>
      </w:rPr>
      <w:t xml:space="preserve">PEC </w:t>
    </w:r>
    <w:hyperlink r:id="rId1">
      <w:r>
        <w:rPr>
          <w:rStyle w:val="Hyperlink"/>
          <w:rFonts w:cs="Noto Serif Myanmar" w:ascii="Cambria" w:hAnsi="Cambria"/>
          <w:sz w:val="16"/>
          <w:szCs w:val="16"/>
          <w:lang w:val="en-US"/>
        </w:rPr>
        <w:t>comune.budrio@cert.provincia.bo.it</w:t>
      </w:r>
    </w:hyperlink>
    <w:r>
      <w:rPr>
        <w:rFonts w:cs="Noto Serif Myanmar" w:ascii="Cambria" w:hAnsi="Cambria"/>
        <w:color w:val="6D6E6C"/>
        <w:sz w:val="16"/>
        <w:szCs w:val="16"/>
        <w:lang w:val="en-US"/>
      </w:rPr>
      <w:tab/>
    </w:r>
    <w:r>
      <w:rPr>
        <w:rFonts w:cs="Noto Serif Myanmar" w:ascii="Noto Serif Myanmar" w:hAnsi="Noto Serif Myanmar"/>
        <w:color w:val="6D6E6C"/>
        <w:sz w:val="16"/>
        <w:szCs w:val="16"/>
        <w:lang w:val="en-US"/>
      </w:rPr>
      <w:t xml:space="preserve">Partita IVA </w:t>
    </w:r>
    <w:r>
      <w:rPr>
        <w:rFonts w:cs="Noto Serif Myanmar" w:ascii="Noto Serif Myanmar" w:hAnsi="Noto Serif Myanmar"/>
        <w:color w:val="76787A"/>
        <w:sz w:val="16"/>
        <w:szCs w:val="16"/>
      </w:rPr>
      <w:t>00510771207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819"/>
        <w:tab w:val="clear" w:pos="9638"/>
        <w:tab w:val="left" w:pos="2778" w:leader="none"/>
        <w:tab w:val="left" w:pos="6350" w:leader="none"/>
      </w:tabs>
      <w:rPr>
        <w:rFonts w:ascii="Noto Serif Myanmar" w:hAnsi="Noto Serif Myanmar" w:cs="Noto Serif Myanmar"/>
        <w:b/>
        <w:bCs/>
        <w:color w:val="6D6E6C"/>
        <w:sz w:val="16"/>
        <w:szCs w:val="16"/>
      </w:rPr>
    </w:pPr>
    <w:r>
      <mc:AlternateContent>
        <mc:Choice Requires="wps">
          <w:drawing>
            <wp:anchor behindDoc="1" distT="3810" distB="3810" distL="0" distR="635" simplePos="0" locked="0" layoutInCell="0" allowOverlap="1" relativeHeight="8" wp14:anchorId="5F3B9801">
              <wp:simplePos x="0" y="0"/>
              <wp:positionH relativeFrom="page">
                <wp:posOffset>504190</wp:posOffset>
              </wp:positionH>
              <wp:positionV relativeFrom="page">
                <wp:posOffset>9720580</wp:posOffset>
              </wp:positionV>
              <wp:extent cx="6551930" cy="635"/>
              <wp:effectExtent l="0" t="3810" r="635" b="3810"/>
              <wp:wrapNone/>
              <wp:docPr id="6" name="Connettore 1 4"/>
              <a:graphic xmlns:a="http://schemas.openxmlformats.org/drawingml/2006/main">
                <a:graphicData uri="http://schemas.microsoft.com/office/word/2010/wordprocessingShape">
                  <wps:wsp>
                    <wps:cNvSpPr/>
                    <wps:spPr>
                      <a:xfrm>
                        <a:off x="0" y="0"/>
                        <a:ext cx="6552000" cy="720"/>
                      </a:xfrm>
                      <a:prstGeom prst="line">
                        <a:avLst/>
                      </a:prstGeom>
                      <a:ln>
                        <a:solidFill>
                          <a:srgbClr val="6d6e6c"/>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39.7pt,765.4pt" to="555.55pt,765.4pt" ID="Connettore 1 4" stroked="t" o:allowincell="f" style="position:absolute;mso-position-horizontal-relative:page;mso-position-vertical-relative:page" wp14:anchorId="5F3B9801">
              <v:stroke color="#6d6e6c" weight="6480" joinstyle="miter" endcap="flat"/>
              <v:fill o:detectmouseclick="t" on="false"/>
              <w10:wrap type="none"/>
            </v:line>
          </w:pict>
        </mc:Fallback>
      </mc:AlternateContent>
    </w:r>
    <w:r>
      <w:rPr>
        <w:rFonts w:cs="Noto Serif Myanmar" w:ascii="Noto Serif Myanmar" w:hAnsi="Noto Serif Myanmar"/>
        <w:b/>
        <w:bCs/>
        <w:color w:val="6D6E6C"/>
        <w:sz w:val="16"/>
        <w:szCs w:val="16"/>
      </w:rPr>
      <w:t>Comune di Budrio</w:t>
    </w:r>
  </w:p>
  <w:p>
    <w:pPr>
      <w:pStyle w:val="Paragrafobase"/>
      <w:tabs>
        <w:tab w:val="clear" w:pos="709"/>
        <w:tab w:val="left" w:pos="2778" w:leader="none"/>
        <w:tab w:val="left" w:pos="6350" w:leader="none"/>
      </w:tabs>
      <w:rPr>
        <w:rFonts w:ascii="NotoSerif-Regular" w:hAnsi="NotoSerif-Regular" w:cs="NotoSerif-Regular"/>
        <w:color w:val="76787A"/>
        <w:sz w:val="16"/>
        <w:szCs w:val="16"/>
      </w:rPr>
    </w:pPr>
    <w:r>
      <w:rPr>
        <w:rFonts w:cs="Noto Serif Myanmar" w:ascii="Noto Serif Myanmar" w:hAnsi="Noto Serif Myanmar"/>
        <w:color w:val="6D6E6C"/>
        <w:sz w:val="16"/>
        <w:szCs w:val="16"/>
      </w:rPr>
      <w:t>Piazza Filopanti, 11</w:t>
      <w:tab/>
    </w:r>
    <w:r>
      <w:rPr>
        <w:rFonts w:cs="Noto Serif Myanmar" w:ascii="Cambria" w:hAnsi="Cambria"/>
        <w:color w:val="6D6E6C"/>
        <w:sz w:val="16"/>
        <w:szCs w:val="16"/>
      </w:rPr>
      <w:t>Tel +39 051 6928111 / Fax +39 051 808106</w:t>
      <w:tab/>
    </w:r>
    <w:r>
      <w:rPr>
        <w:rFonts w:cs="Noto Serif Myanmar" w:ascii="Noto Serif Myanmar" w:hAnsi="Noto Serif Myanmar"/>
        <w:color w:val="6D6E6C"/>
        <w:sz w:val="16"/>
        <w:szCs w:val="16"/>
      </w:rPr>
      <w:t xml:space="preserve">Codice Fiscale </w:t>
    </w:r>
    <w:r>
      <w:rPr>
        <w:rFonts w:cs="Noto Serif Myanmar" w:ascii="Noto Serif Myanmar" w:hAnsi="Noto Serif Myanmar"/>
        <w:color w:val="76787A"/>
        <w:sz w:val="16"/>
        <w:szCs w:val="16"/>
      </w:rPr>
      <w:t>00469720379</w:t>
    </w:r>
  </w:p>
  <w:p>
    <w:pPr>
      <w:pStyle w:val="Paragrafobase"/>
      <w:tabs>
        <w:tab w:val="clear" w:pos="709"/>
        <w:tab w:val="left" w:pos="2778" w:leader="none"/>
        <w:tab w:val="left" w:pos="6350" w:leader="none"/>
      </w:tabs>
      <w:rPr>
        <w:rFonts w:ascii="Noto Serif Myanmar" w:hAnsi="Noto Serif Myanmar" w:cs="Noto Serif Myanmar"/>
        <w:color w:val="76787A"/>
        <w:sz w:val="16"/>
        <w:szCs w:val="16"/>
      </w:rPr>
    </w:pPr>
    <w:r>
      <w:rPr>
        <w:rFonts w:cs="Noto Serif Myanmar" w:ascii="Noto Serif Myanmar" w:hAnsi="Noto Serif Myanmar"/>
        <w:color w:val="6D6E6C"/>
        <w:sz w:val="16"/>
        <w:szCs w:val="16"/>
        <w:lang w:val="en-US"/>
      </w:rPr>
      <w:t>40054 Budrio (BO) Italy</w:t>
      <w:tab/>
    </w:r>
    <w:r>
      <w:rPr>
        <w:rFonts w:cs="Noto Serif Myanmar" w:ascii="Cambria" w:hAnsi="Cambria"/>
        <w:color w:val="6D6E6C"/>
        <w:sz w:val="16"/>
        <w:szCs w:val="16"/>
        <w:lang w:val="en-US"/>
      </w:rPr>
      <w:t xml:space="preserve">PEC </w:t>
    </w:r>
    <w:hyperlink r:id="rId1">
      <w:r>
        <w:rPr>
          <w:rStyle w:val="Hyperlink"/>
          <w:rFonts w:cs="Noto Serif Myanmar" w:ascii="Cambria" w:hAnsi="Cambria"/>
          <w:sz w:val="16"/>
          <w:szCs w:val="16"/>
          <w:lang w:val="en-US"/>
        </w:rPr>
        <w:t>comune.budrio@cert.provincia.bo.it</w:t>
      </w:r>
    </w:hyperlink>
    <w:r>
      <w:rPr>
        <w:rFonts w:cs="Noto Serif Myanmar" w:ascii="Cambria" w:hAnsi="Cambria"/>
        <w:color w:val="6D6E6C"/>
        <w:sz w:val="16"/>
        <w:szCs w:val="16"/>
        <w:lang w:val="en-US"/>
      </w:rPr>
      <w:tab/>
    </w:r>
    <w:r>
      <w:rPr>
        <w:rFonts w:cs="Noto Serif Myanmar" w:ascii="Noto Serif Myanmar" w:hAnsi="Noto Serif Myanmar"/>
        <w:color w:val="6D6E6C"/>
        <w:sz w:val="16"/>
        <w:szCs w:val="16"/>
        <w:lang w:val="en-US"/>
      </w:rPr>
      <w:t xml:space="preserve">Partita IVA </w:t>
    </w:r>
    <w:r>
      <w:rPr>
        <w:rFonts w:cs="Noto Serif Myanmar" w:ascii="Noto Serif Myanmar" w:hAnsi="Noto Serif Myanmar"/>
        <w:color w:val="76787A"/>
        <w:sz w:val="16"/>
        <w:szCs w:val="16"/>
      </w:rPr>
      <w:t>00510771207</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7">
          <wp:simplePos x="0" y="0"/>
          <wp:positionH relativeFrom="column">
            <wp:posOffset>0</wp:posOffset>
          </wp:positionH>
          <wp:positionV relativeFrom="paragraph">
            <wp:posOffset>635</wp:posOffset>
          </wp:positionV>
          <wp:extent cx="1511935" cy="734695"/>
          <wp:effectExtent l="0" t="0" r="0" b="0"/>
          <wp:wrapNone/>
          <wp:docPr id="3" name="Immagine 1" descr="Immagine che contiene cartone animato, schermata,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 descr="Immagine che contiene cartone animato, schermata, simbolo, Elementi grafici&#10;&#10;Descrizione generata automaticamente"/>
                  <pic:cNvPicPr>
                    <a:picLocks noChangeAspect="1" noChangeArrowheads="1"/>
                  </pic:cNvPicPr>
                </pic:nvPicPr>
                <pic:blipFill>
                  <a:blip r:embed="rId1"/>
                  <a:stretch>
                    <a:fillRect/>
                  </a:stretch>
                </pic:blipFill>
                <pic:spPr bwMode="auto">
                  <a:xfrm>
                    <a:off x="0" y="0"/>
                    <a:ext cx="1511935" cy="73469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6350" w:leader="none"/>
        <w:tab w:val="left" w:pos="6379" w:leader="none"/>
      </w:tabs>
      <w:rPr>
        <w:rFonts w:ascii="Noto Serif Myanmar SemBd" w:hAnsi="Noto Serif Myanmar SemBd" w:cs="Noto Serif Myanmar SemBd"/>
        <w:color w:val="6D6E6C"/>
        <w:sz w:val="18"/>
        <w:szCs w:val="18"/>
      </w:rPr>
    </w:pPr>
    <w:r>
      <w:drawing>
        <wp:anchor behindDoc="1" distT="0" distB="0" distL="0" distR="0" simplePos="0" locked="0" layoutInCell="0" allowOverlap="1" relativeHeight="2">
          <wp:simplePos x="0" y="0"/>
          <wp:positionH relativeFrom="page">
            <wp:posOffset>504190</wp:posOffset>
          </wp:positionH>
          <wp:positionV relativeFrom="page">
            <wp:posOffset>504190</wp:posOffset>
          </wp:positionV>
          <wp:extent cx="1511935" cy="734695"/>
          <wp:effectExtent l="0" t="0" r="0" b="0"/>
          <wp:wrapNone/>
          <wp:docPr id="4" name="Immagine 2" descr="Immagine che contiene cartone animato, schermata,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 descr="Immagine che contiene cartone animato, schermata, simbolo, Elementi grafici&#10;&#10;Descrizione generata automaticamente"/>
                  <pic:cNvPicPr>
                    <a:picLocks noChangeAspect="1" noChangeArrowheads="1"/>
                  </pic:cNvPicPr>
                </pic:nvPicPr>
                <pic:blipFill>
                  <a:blip r:embed="rId1"/>
                  <a:stretch>
                    <a:fillRect/>
                  </a:stretch>
                </pic:blipFill>
                <pic:spPr bwMode="auto">
                  <a:xfrm>
                    <a:off x="0" y="0"/>
                    <a:ext cx="1511935" cy="734695"/>
                  </a:xfrm>
                  <a:prstGeom prst="rect">
                    <a:avLst/>
                  </a:prstGeom>
                  <a:noFill/>
                </pic:spPr>
              </pic:pic>
            </a:graphicData>
          </a:graphic>
        </wp:anchor>
      </w:drawing>
    </w:r>
    <w:r>
      <w:rPr>
        <w:rFonts w:cs="Noto Serif Myanmar SemBd" w:ascii="Noto Serif Myanmar SemBd" w:hAnsi="Noto Serif Myanmar SemBd"/>
        <w:color w:val="6D6E6C"/>
        <w:sz w:val="18"/>
        <w:szCs w:val="18"/>
      </w:rPr>
      <w:tab/>
      <w:t>Settore Affari Generali</w:t>
    </w:r>
  </w:p>
  <w:p>
    <w:pPr>
      <w:pStyle w:val="Header"/>
      <w:tabs>
        <w:tab w:val="clear" w:pos="4819"/>
        <w:tab w:val="clear" w:pos="9638"/>
        <w:tab w:val="left" w:pos="6350" w:leader="none"/>
        <w:tab w:val="left" w:pos="6379" w:leader="none"/>
      </w:tabs>
      <w:rPr>
        <w:rFonts w:ascii="Cambria" w:hAnsi="Cambria" w:cs="Noto Serif Myanmar SemBd"/>
        <w:color w:val="6D6E6C"/>
        <w:sz w:val="18"/>
        <w:szCs w:val="18"/>
      </w:rPr>
    </w:pPr>
    <w:r>
      <w:rPr>
        <w:rFonts w:cs="Noto Serif Myanmar SemBd" w:ascii="Noto Serif Myanmar SemBd" w:hAnsi="Noto Serif Myanmar SemBd"/>
        <w:color w:val="6D6E6C"/>
        <w:sz w:val="18"/>
        <w:szCs w:val="18"/>
      </w:rPr>
      <w:tab/>
    </w:r>
    <w:r>
      <w:rPr>
        <w:rFonts w:cs="Noto Serif Myanmar SemBd" w:ascii="Cambria" w:hAnsi="Cambria"/>
        <w:color w:val="6D6E6C"/>
        <w:sz w:val="18"/>
        <w:szCs w:val="18"/>
      </w:rPr>
      <w:t>Ufficio Segreteria Generale</w:t>
    </w:r>
  </w:p>
  <w:p>
    <w:pPr>
      <w:pStyle w:val="Header"/>
      <w:tabs>
        <w:tab w:val="clear" w:pos="4819"/>
        <w:tab w:val="clear" w:pos="9638"/>
        <w:tab w:val="left" w:pos="6350" w:leader="none"/>
        <w:tab w:val="left" w:pos="6379" w:leader="none"/>
      </w:tabs>
      <w:rPr>
        <w:rFonts w:ascii="Cambria" w:hAnsi="Cambria" w:cs="Noto Serif Myanmar SemBd"/>
        <w:color w:val="6D6E6C"/>
        <w:sz w:val="18"/>
        <w:szCs w:val="18"/>
      </w:rPr>
    </w:pPr>
    <w:r>
      <w:rPr>
        <w:rFonts w:cs="Noto Serif Myanmar SemBd" w:ascii="Cambria" w:hAnsi="Cambria"/>
        <w:color w:val="6D6E6C"/>
        <w:sz w:val="18"/>
        <w:szCs w:val="18"/>
      </w:rPr>
      <w:tab/>
      <w:t>Indirizzo fisico Piazza Quirico Filopanti, n. 11</w:t>
    </w:r>
  </w:p>
  <w:p>
    <w:pPr>
      <w:pStyle w:val="Header"/>
      <w:tabs>
        <w:tab w:val="clear" w:pos="4819"/>
        <w:tab w:val="clear" w:pos="9638"/>
        <w:tab w:val="left" w:pos="6350" w:leader="none"/>
        <w:tab w:val="left" w:pos="6379" w:leader="none"/>
      </w:tabs>
      <w:rPr>
        <w:rFonts w:ascii="Cambria" w:hAnsi="Cambria" w:cs="Noto Serif Myanmar SemBd"/>
        <w:color w:val="6D6E6C"/>
        <w:sz w:val="18"/>
        <w:szCs w:val="18"/>
      </w:rPr>
    </w:pPr>
    <w:r>
      <w:rPr>
        <w:rFonts w:cs="Noto Serif Myanmar SemBd" w:ascii="Cambria" w:hAnsi="Cambria"/>
        <w:color w:val="6D6E6C"/>
        <w:sz w:val="18"/>
        <w:szCs w:val="18"/>
      </w:rPr>
      <w:tab/>
      <w:t>Tel +39 051 6928320 / Fax +39 051 808106</w:t>
    </w:r>
  </w:p>
  <w:p>
    <w:pPr>
      <w:pStyle w:val="Header"/>
      <w:tabs>
        <w:tab w:val="clear" w:pos="4819"/>
        <w:tab w:val="clear" w:pos="9638"/>
        <w:tab w:val="left" w:pos="6350" w:leader="none"/>
        <w:tab w:val="left" w:pos="6379" w:leader="none"/>
      </w:tabs>
      <w:rPr>
        <w:rFonts w:ascii="Cambria" w:hAnsi="Cambria" w:cs="Noto Serif Myanmar SemBd"/>
        <w:color w:val="6D6E6C"/>
        <w:sz w:val="18"/>
        <w:szCs w:val="18"/>
        <w:lang w:val="en-US"/>
      </w:rPr>
    </w:pPr>
    <w:r>
      <w:rPr>
        <w:rFonts w:cs="Noto Serif Myanmar SemBd" w:ascii="Cambria" w:hAnsi="Cambria"/>
        <w:color w:val="6D6E6C"/>
        <w:sz w:val="18"/>
        <w:szCs w:val="18"/>
      </w:rPr>
      <w:tab/>
    </w:r>
    <w:r>
      <w:rPr>
        <w:rFonts w:cs="Noto Serif Myanmar SemBd" w:ascii="Cambria" w:hAnsi="Cambria"/>
        <w:color w:val="6D6E6C"/>
        <w:sz w:val="18"/>
        <w:szCs w:val="18"/>
        <w:lang w:val="en-US"/>
      </w:rPr>
      <w:t xml:space="preserve">Mail segreteria@comune.budrio.bo.it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1"/>
        </w:tabs>
        <w:ind w:left="721" w:hanging="360"/>
      </w:pPr>
      <w:rPr>
        <w:rFonts w:ascii="Symbol" w:hAnsi="Symbol" w:cs="Symbol" w:hint="default"/>
      </w:rPr>
    </w:lvl>
    <w:lvl w:ilvl="1">
      <w:start w:val="1"/>
      <w:numFmt w:val="bullet"/>
      <w:lvlText w:val=""/>
      <w:lvlJc w:val="left"/>
      <w:pPr>
        <w:tabs>
          <w:tab w:val="num" w:pos="1081"/>
        </w:tabs>
        <w:ind w:left="1081" w:hanging="360"/>
      </w:pPr>
      <w:rPr>
        <w:rFonts w:ascii="Symbol" w:hAnsi="Symbol" w:cs="Symbol" w:hint="default"/>
      </w:rPr>
    </w:lvl>
    <w:lvl w:ilvl="2">
      <w:start w:val="1"/>
      <w:numFmt w:val="bullet"/>
      <w:lvlText w:val=""/>
      <w:lvlJc w:val="left"/>
      <w:pPr>
        <w:tabs>
          <w:tab w:val="num" w:pos="1441"/>
        </w:tabs>
        <w:ind w:left="1441" w:hanging="360"/>
      </w:pPr>
      <w:rPr>
        <w:rFonts w:ascii="Symbol" w:hAnsi="Symbol" w:cs="Symbol" w:hint="default"/>
      </w:rPr>
    </w:lvl>
    <w:lvl w:ilvl="3">
      <w:start w:val="1"/>
      <w:numFmt w:val="bullet"/>
      <w:lvlText w:val=""/>
      <w:lvlJc w:val="left"/>
      <w:pPr>
        <w:tabs>
          <w:tab w:val="num" w:pos="1801"/>
        </w:tabs>
        <w:ind w:left="1801" w:hanging="360"/>
      </w:pPr>
      <w:rPr>
        <w:rFonts w:ascii="Symbol" w:hAnsi="Symbol" w:cs="Symbol" w:hint="default"/>
      </w:rPr>
    </w:lvl>
    <w:lvl w:ilvl="4">
      <w:start w:val="1"/>
      <w:numFmt w:val="bullet"/>
      <w:lvlText w:val=""/>
      <w:lvlJc w:val="left"/>
      <w:pPr>
        <w:tabs>
          <w:tab w:val="num" w:pos="2161"/>
        </w:tabs>
        <w:ind w:left="2161" w:hanging="360"/>
      </w:pPr>
      <w:rPr>
        <w:rFonts w:ascii="Symbol" w:hAnsi="Symbol" w:cs="Symbol" w:hint="default"/>
      </w:rPr>
    </w:lvl>
    <w:lvl w:ilvl="5">
      <w:start w:val="1"/>
      <w:numFmt w:val="bullet"/>
      <w:lvlText w:val=""/>
      <w:lvlJc w:val="left"/>
      <w:pPr>
        <w:tabs>
          <w:tab w:val="num" w:pos="2521"/>
        </w:tabs>
        <w:ind w:left="2521" w:hanging="360"/>
      </w:pPr>
      <w:rPr>
        <w:rFonts w:ascii="Symbol" w:hAnsi="Symbol" w:cs="Symbol" w:hint="default"/>
      </w:rPr>
    </w:lvl>
    <w:lvl w:ilvl="6">
      <w:start w:val="1"/>
      <w:numFmt w:val="bullet"/>
      <w:lvlText w:val=""/>
      <w:lvlJc w:val="left"/>
      <w:pPr>
        <w:tabs>
          <w:tab w:val="num" w:pos="2881"/>
        </w:tabs>
        <w:ind w:left="2881" w:hanging="360"/>
      </w:pPr>
      <w:rPr>
        <w:rFonts w:ascii="Symbol" w:hAnsi="Symbol" w:cs="Symbol" w:hint="default"/>
      </w:rPr>
    </w:lvl>
    <w:lvl w:ilvl="7">
      <w:start w:val="1"/>
      <w:numFmt w:val="bullet"/>
      <w:lvlText w:val=""/>
      <w:lvlJc w:val="left"/>
      <w:pPr>
        <w:tabs>
          <w:tab w:val="num" w:pos="3241"/>
        </w:tabs>
        <w:ind w:left="3241" w:hanging="360"/>
      </w:pPr>
      <w:rPr>
        <w:rFonts w:ascii="Symbol" w:hAnsi="Symbol" w:cs="Symbol" w:hint="default"/>
      </w:rPr>
    </w:lvl>
    <w:lvl w:ilvl="8">
      <w:start w:val="1"/>
      <w:numFmt w:val="bullet"/>
      <w:lvlText w:val=""/>
      <w:lvlJc w:val="left"/>
      <w:pPr>
        <w:tabs>
          <w:tab w:val="num" w:pos="3601"/>
        </w:tabs>
        <w:ind w:left="3601" w:hanging="360"/>
      </w:pPr>
      <w:rPr>
        <w:rFonts w:ascii="Symbol" w:hAnsi="Symbol" w:cs="Symbol" w:hint="default"/>
      </w:rPr>
    </w:lvl>
  </w:abstractNum>
  <w:abstractNum w:abstractNumId="2">
    <w:lvl w:ilvl="0">
      <w:start w:val="1"/>
      <w:numFmt w:val="decimal"/>
      <w:lvlText w:val="%1."/>
      <w:lvlJc w:val="left"/>
      <w:pPr>
        <w:tabs>
          <w:tab w:val="num" w:pos="721"/>
        </w:tabs>
        <w:ind w:left="721" w:hanging="360"/>
      </w:pPr>
      <w:rPr/>
    </w:lvl>
    <w:lvl w:ilvl="1">
      <w:start w:val="1"/>
      <w:numFmt w:val="decimal"/>
      <w:lvlText w:val="%2."/>
      <w:lvlJc w:val="left"/>
      <w:pPr>
        <w:tabs>
          <w:tab w:val="num" w:pos="1081"/>
        </w:tabs>
        <w:ind w:left="1081" w:hanging="360"/>
      </w:pPr>
      <w:rPr/>
    </w:lvl>
    <w:lvl w:ilvl="2">
      <w:start w:val="1"/>
      <w:numFmt w:val="decimal"/>
      <w:lvlText w:val="%3."/>
      <w:lvlJc w:val="left"/>
      <w:pPr>
        <w:tabs>
          <w:tab w:val="num" w:pos="1441"/>
        </w:tabs>
        <w:ind w:left="1441" w:hanging="360"/>
      </w:pPr>
      <w:rPr/>
    </w:lvl>
    <w:lvl w:ilvl="3">
      <w:start w:val="1"/>
      <w:numFmt w:val="decimal"/>
      <w:lvlText w:val="%4."/>
      <w:lvlJc w:val="left"/>
      <w:pPr>
        <w:tabs>
          <w:tab w:val="num" w:pos="1801"/>
        </w:tabs>
        <w:ind w:left="1801" w:hanging="360"/>
      </w:pPr>
      <w:rPr/>
    </w:lvl>
    <w:lvl w:ilvl="4">
      <w:start w:val="1"/>
      <w:numFmt w:val="decimal"/>
      <w:lvlText w:val="%5."/>
      <w:lvlJc w:val="left"/>
      <w:pPr>
        <w:tabs>
          <w:tab w:val="num" w:pos="2161"/>
        </w:tabs>
        <w:ind w:left="2161" w:hanging="360"/>
      </w:pPr>
      <w:rPr/>
    </w:lvl>
    <w:lvl w:ilvl="5">
      <w:start w:val="1"/>
      <w:numFmt w:val="decimal"/>
      <w:lvlText w:val="%6."/>
      <w:lvlJc w:val="left"/>
      <w:pPr>
        <w:tabs>
          <w:tab w:val="num" w:pos="2521"/>
        </w:tabs>
        <w:ind w:left="2521" w:hanging="360"/>
      </w:pPr>
      <w:rPr/>
    </w:lvl>
    <w:lvl w:ilvl="6">
      <w:start w:val="1"/>
      <w:numFmt w:val="decimal"/>
      <w:lvlText w:val="%7."/>
      <w:lvlJc w:val="left"/>
      <w:pPr>
        <w:tabs>
          <w:tab w:val="num" w:pos="2881"/>
        </w:tabs>
        <w:ind w:left="2881" w:hanging="360"/>
      </w:pPr>
      <w:rPr/>
    </w:lvl>
    <w:lvl w:ilvl="7">
      <w:start w:val="1"/>
      <w:numFmt w:val="decimal"/>
      <w:lvlText w:val="%8."/>
      <w:lvlJc w:val="left"/>
      <w:pPr>
        <w:tabs>
          <w:tab w:val="num" w:pos="3241"/>
        </w:tabs>
        <w:ind w:left="3241" w:hanging="360"/>
      </w:pPr>
      <w:rPr/>
    </w:lvl>
    <w:lvl w:ilvl="8">
      <w:start w:val="1"/>
      <w:numFmt w:val="decimal"/>
      <w:lvlText w:val="%9."/>
      <w:lvlJc w:val="left"/>
      <w:pPr>
        <w:tabs>
          <w:tab w:val="num" w:pos="3601"/>
        </w:tabs>
        <w:ind w:left="3601" w:hanging="360"/>
      </w:pPr>
      <w:rPr/>
    </w:lvl>
  </w:abstractNum>
  <w:abstractNum w:abstractNumId="3">
    <w:lvl w:ilvl="0">
      <w:start w:val="1"/>
      <w:numFmt w:val="bullet"/>
      <w:lvlText w:val=""/>
      <w:lvlJc w:val="left"/>
      <w:pPr>
        <w:tabs>
          <w:tab w:val="num" w:pos="438"/>
        </w:tabs>
        <w:ind w:left="438" w:hanging="360"/>
      </w:pPr>
      <w:rPr>
        <w:rFonts w:ascii="Symbol" w:hAnsi="Symbol" w:cs="Symbol" w:hint="default"/>
      </w:rPr>
    </w:lvl>
    <w:lvl w:ilvl="1">
      <w:start w:val="1"/>
      <w:numFmt w:val="bullet"/>
      <w:lvlText w:val=""/>
      <w:lvlJc w:val="left"/>
      <w:pPr>
        <w:tabs>
          <w:tab w:val="num" w:pos="798"/>
        </w:tabs>
        <w:ind w:left="798" w:hanging="360"/>
      </w:pPr>
      <w:rPr>
        <w:rFonts w:ascii="Symbol" w:hAnsi="Symbol" w:cs="Symbol" w:hint="default"/>
      </w:rPr>
    </w:lvl>
    <w:lvl w:ilvl="2">
      <w:start w:val="1"/>
      <w:numFmt w:val="bullet"/>
      <w:lvlText w:val=""/>
      <w:lvlJc w:val="left"/>
      <w:pPr>
        <w:tabs>
          <w:tab w:val="num" w:pos="1158"/>
        </w:tabs>
        <w:ind w:left="1158" w:hanging="360"/>
      </w:pPr>
      <w:rPr>
        <w:rFonts w:ascii="Symbol" w:hAnsi="Symbol" w:cs="Symbol" w:hint="default"/>
      </w:rPr>
    </w:lvl>
    <w:lvl w:ilvl="3">
      <w:start w:val="1"/>
      <w:numFmt w:val="bullet"/>
      <w:lvlText w:val=""/>
      <w:lvlJc w:val="left"/>
      <w:pPr>
        <w:tabs>
          <w:tab w:val="num" w:pos="1518"/>
        </w:tabs>
        <w:ind w:left="1518" w:hanging="360"/>
      </w:pPr>
      <w:rPr>
        <w:rFonts w:ascii="Symbol" w:hAnsi="Symbol" w:cs="Symbol" w:hint="default"/>
      </w:rPr>
    </w:lvl>
    <w:lvl w:ilvl="4">
      <w:start w:val="1"/>
      <w:numFmt w:val="bullet"/>
      <w:lvlText w:val=""/>
      <w:lvlJc w:val="left"/>
      <w:pPr>
        <w:tabs>
          <w:tab w:val="num" w:pos="1878"/>
        </w:tabs>
        <w:ind w:left="1878" w:hanging="360"/>
      </w:pPr>
      <w:rPr>
        <w:rFonts w:ascii="Symbol" w:hAnsi="Symbol" w:cs="Symbol" w:hint="default"/>
      </w:rPr>
    </w:lvl>
    <w:lvl w:ilvl="5">
      <w:start w:val="1"/>
      <w:numFmt w:val="bullet"/>
      <w:lvlText w:val=""/>
      <w:lvlJc w:val="left"/>
      <w:pPr>
        <w:tabs>
          <w:tab w:val="num" w:pos="2238"/>
        </w:tabs>
        <w:ind w:left="2238" w:hanging="360"/>
      </w:pPr>
      <w:rPr>
        <w:rFonts w:ascii="Symbol" w:hAnsi="Symbol" w:cs="Symbol" w:hint="default"/>
      </w:rPr>
    </w:lvl>
    <w:lvl w:ilvl="6">
      <w:start w:val="1"/>
      <w:numFmt w:val="bullet"/>
      <w:lvlText w:val=""/>
      <w:lvlJc w:val="left"/>
      <w:pPr>
        <w:tabs>
          <w:tab w:val="num" w:pos="2598"/>
        </w:tabs>
        <w:ind w:left="2598" w:hanging="360"/>
      </w:pPr>
      <w:rPr>
        <w:rFonts w:ascii="Symbol" w:hAnsi="Symbol" w:cs="Symbol" w:hint="default"/>
      </w:rPr>
    </w:lvl>
    <w:lvl w:ilvl="7">
      <w:start w:val="1"/>
      <w:numFmt w:val="bullet"/>
      <w:lvlText w:val=""/>
      <w:lvlJc w:val="left"/>
      <w:pPr>
        <w:tabs>
          <w:tab w:val="num" w:pos="2958"/>
        </w:tabs>
        <w:ind w:left="2958" w:hanging="360"/>
      </w:pPr>
      <w:rPr>
        <w:rFonts w:ascii="Symbol" w:hAnsi="Symbol" w:cs="Symbol" w:hint="default"/>
      </w:rPr>
    </w:lvl>
    <w:lvl w:ilvl="8">
      <w:start w:val="1"/>
      <w:numFmt w:val="bullet"/>
      <w:lvlText w:val=""/>
      <w:lvlJc w:val="left"/>
      <w:pPr>
        <w:tabs>
          <w:tab w:val="num" w:pos="3318"/>
        </w:tabs>
        <w:ind w:left="3318" w:hanging="360"/>
      </w:pPr>
      <w:rPr>
        <w:rFonts w:ascii="Symbol" w:hAnsi="Symbol" w:cs="Symbol" w:hint="default"/>
      </w:rPr>
    </w:lvl>
  </w:abstractNum>
  <w:abstractNum w:abstractNumId="4">
    <w:lvl w:ilvl="0">
      <w:start w:val="1"/>
      <w:numFmt w:val="bullet"/>
      <w:lvlText w:val=""/>
      <w:lvlJc w:val="left"/>
      <w:pPr>
        <w:tabs>
          <w:tab w:val="num" w:pos="438"/>
        </w:tabs>
        <w:ind w:left="438" w:hanging="360"/>
      </w:pPr>
      <w:rPr>
        <w:rFonts w:ascii="Symbol" w:hAnsi="Symbol" w:cs="Symbol" w:hint="default"/>
      </w:rPr>
    </w:lvl>
    <w:lvl w:ilvl="1">
      <w:start w:val="1"/>
      <w:numFmt w:val="bullet"/>
      <w:lvlText w:val=""/>
      <w:lvlJc w:val="left"/>
      <w:pPr>
        <w:tabs>
          <w:tab w:val="num" w:pos="798"/>
        </w:tabs>
        <w:ind w:left="798" w:hanging="360"/>
      </w:pPr>
      <w:rPr>
        <w:rFonts w:ascii="Symbol" w:hAnsi="Symbol" w:cs="Symbol" w:hint="default"/>
      </w:rPr>
    </w:lvl>
    <w:lvl w:ilvl="2">
      <w:start w:val="1"/>
      <w:numFmt w:val="bullet"/>
      <w:lvlText w:val=""/>
      <w:lvlJc w:val="left"/>
      <w:pPr>
        <w:tabs>
          <w:tab w:val="num" w:pos="1158"/>
        </w:tabs>
        <w:ind w:left="1158" w:hanging="360"/>
      </w:pPr>
      <w:rPr>
        <w:rFonts w:ascii="Symbol" w:hAnsi="Symbol" w:cs="Symbol" w:hint="default"/>
      </w:rPr>
    </w:lvl>
    <w:lvl w:ilvl="3">
      <w:start w:val="1"/>
      <w:numFmt w:val="bullet"/>
      <w:lvlText w:val=""/>
      <w:lvlJc w:val="left"/>
      <w:pPr>
        <w:tabs>
          <w:tab w:val="num" w:pos="1518"/>
        </w:tabs>
        <w:ind w:left="1518" w:hanging="360"/>
      </w:pPr>
      <w:rPr>
        <w:rFonts w:ascii="Symbol" w:hAnsi="Symbol" w:cs="Symbol" w:hint="default"/>
      </w:rPr>
    </w:lvl>
    <w:lvl w:ilvl="4">
      <w:start w:val="1"/>
      <w:numFmt w:val="bullet"/>
      <w:lvlText w:val=""/>
      <w:lvlJc w:val="left"/>
      <w:pPr>
        <w:tabs>
          <w:tab w:val="num" w:pos="1878"/>
        </w:tabs>
        <w:ind w:left="1878" w:hanging="360"/>
      </w:pPr>
      <w:rPr>
        <w:rFonts w:ascii="Symbol" w:hAnsi="Symbol" w:cs="Symbol" w:hint="default"/>
      </w:rPr>
    </w:lvl>
    <w:lvl w:ilvl="5">
      <w:start w:val="1"/>
      <w:numFmt w:val="bullet"/>
      <w:lvlText w:val=""/>
      <w:lvlJc w:val="left"/>
      <w:pPr>
        <w:tabs>
          <w:tab w:val="num" w:pos="2238"/>
        </w:tabs>
        <w:ind w:left="2238" w:hanging="360"/>
      </w:pPr>
      <w:rPr>
        <w:rFonts w:ascii="Symbol" w:hAnsi="Symbol" w:cs="Symbol" w:hint="default"/>
      </w:rPr>
    </w:lvl>
    <w:lvl w:ilvl="6">
      <w:start w:val="1"/>
      <w:numFmt w:val="bullet"/>
      <w:lvlText w:val=""/>
      <w:lvlJc w:val="left"/>
      <w:pPr>
        <w:tabs>
          <w:tab w:val="num" w:pos="2598"/>
        </w:tabs>
        <w:ind w:left="2598" w:hanging="360"/>
      </w:pPr>
      <w:rPr>
        <w:rFonts w:ascii="Symbol" w:hAnsi="Symbol" w:cs="Symbol" w:hint="default"/>
      </w:rPr>
    </w:lvl>
    <w:lvl w:ilvl="7">
      <w:start w:val="1"/>
      <w:numFmt w:val="bullet"/>
      <w:lvlText w:val=""/>
      <w:lvlJc w:val="left"/>
      <w:pPr>
        <w:tabs>
          <w:tab w:val="num" w:pos="2958"/>
        </w:tabs>
        <w:ind w:left="2958" w:hanging="360"/>
      </w:pPr>
      <w:rPr>
        <w:rFonts w:ascii="Symbol" w:hAnsi="Symbol" w:cs="Symbol" w:hint="default"/>
      </w:rPr>
    </w:lvl>
    <w:lvl w:ilvl="8">
      <w:start w:val="1"/>
      <w:numFmt w:val="bullet"/>
      <w:lvlText w:val=""/>
      <w:lvlJc w:val="left"/>
      <w:pPr>
        <w:tabs>
          <w:tab w:val="num" w:pos="3318"/>
        </w:tabs>
        <w:ind w:left="3318" w:hanging="360"/>
      </w:pPr>
      <w:rPr>
        <w:rFonts w:ascii="Symbol" w:hAnsi="Symbol" w:cs="Symbol" w:hint="default"/>
      </w:rPr>
    </w:lvl>
  </w:abstractNum>
  <w:abstractNum w:abstractNumId="5">
    <w:lvl w:ilvl="0">
      <w:start w:val="1"/>
      <w:numFmt w:val="bullet"/>
      <w:lvlText w:val=""/>
      <w:lvlJc w:val="left"/>
      <w:pPr>
        <w:tabs>
          <w:tab w:val="num" w:pos="438"/>
        </w:tabs>
        <w:ind w:left="438" w:hanging="360"/>
      </w:pPr>
      <w:rPr>
        <w:rFonts w:ascii="Symbol" w:hAnsi="Symbol" w:cs="Symbol" w:hint="default"/>
      </w:rPr>
    </w:lvl>
    <w:lvl w:ilvl="1">
      <w:start w:val="1"/>
      <w:numFmt w:val="bullet"/>
      <w:lvlText w:val=""/>
      <w:lvlJc w:val="left"/>
      <w:pPr>
        <w:tabs>
          <w:tab w:val="num" w:pos="798"/>
        </w:tabs>
        <w:ind w:left="798" w:hanging="360"/>
      </w:pPr>
      <w:rPr>
        <w:rFonts w:ascii="Symbol" w:hAnsi="Symbol" w:cs="Symbol" w:hint="default"/>
      </w:rPr>
    </w:lvl>
    <w:lvl w:ilvl="2">
      <w:start w:val="1"/>
      <w:numFmt w:val="bullet"/>
      <w:lvlText w:val=""/>
      <w:lvlJc w:val="left"/>
      <w:pPr>
        <w:tabs>
          <w:tab w:val="num" w:pos="1158"/>
        </w:tabs>
        <w:ind w:left="1158" w:hanging="360"/>
      </w:pPr>
      <w:rPr>
        <w:rFonts w:ascii="Symbol" w:hAnsi="Symbol" w:cs="Symbol" w:hint="default"/>
      </w:rPr>
    </w:lvl>
    <w:lvl w:ilvl="3">
      <w:start w:val="1"/>
      <w:numFmt w:val="bullet"/>
      <w:lvlText w:val=""/>
      <w:lvlJc w:val="left"/>
      <w:pPr>
        <w:tabs>
          <w:tab w:val="num" w:pos="1518"/>
        </w:tabs>
        <w:ind w:left="1518" w:hanging="360"/>
      </w:pPr>
      <w:rPr>
        <w:rFonts w:ascii="Symbol" w:hAnsi="Symbol" w:cs="Symbol" w:hint="default"/>
      </w:rPr>
    </w:lvl>
    <w:lvl w:ilvl="4">
      <w:start w:val="1"/>
      <w:numFmt w:val="bullet"/>
      <w:lvlText w:val=""/>
      <w:lvlJc w:val="left"/>
      <w:pPr>
        <w:tabs>
          <w:tab w:val="num" w:pos="1878"/>
        </w:tabs>
        <w:ind w:left="1878" w:hanging="360"/>
      </w:pPr>
      <w:rPr>
        <w:rFonts w:ascii="Symbol" w:hAnsi="Symbol" w:cs="Symbol" w:hint="default"/>
      </w:rPr>
    </w:lvl>
    <w:lvl w:ilvl="5">
      <w:start w:val="1"/>
      <w:numFmt w:val="bullet"/>
      <w:lvlText w:val=""/>
      <w:lvlJc w:val="left"/>
      <w:pPr>
        <w:tabs>
          <w:tab w:val="num" w:pos="2238"/>
        </w:tabs>
        <w:ind w:left="2238" w:hanging="360"/>
      </w:pPr>
      <w:rPr>
        <w:rFonts w:ascii="Symbol" w:hAnsi="Symbol" w:cs="Symbol" w:hint="default"/>
      </w:rPr>
    </w:lvl>
    <w:lvl w:ilvl="6">
      <w:start w:val="1"/>
      <w:numFmt w:val="bullet"/>
      <w:lvlText w:val=""/>
      <w:lvlJc w:val="left"/>
      <w:pPr>
        <w:tabs>
          <w:tab w:val="num" w:pos="2598"/>
        </w:tabs>
        <w:ind w:left="2598" w:hanging="360"/>
      </w:pPr>
      <w:rPr>
        <w:rFonts w:ascii="Symbol" w:hAnsi="Symbol" w:cs="Symbol" w:hint="default"/>
      </w:rPr>
    </w:lvl>
    <w:lvl w:ilvl="7">
      <w:start w:val="1"/>
      <w:numFmt w:val="bullet"/>
      <w:lvlText w:val=""/>
      <w:lvlJc w:val="left"/>
      <w:pPr>
        <w:tabs>
          <w:tab w:val="num" w:pos="2958"/>
        </w:tabs>
        <w:ind w:left="2958" w:hanging="360"/>
      </w:pPr>
      <w:rPr>
        <w:rFonts w:ascii="Symbol" w:hAnsi="Symbol" w:cs="Symbol" w:hint="default"/>
      </w:rPr>
    </w:lvl>
    <w:lvl w:ilvl="8">
      <w:start w:val="1"/>
      <w:numFmt w:val="bullet"/>
      <w:lvlText w:val=""/>
      <w:lvlJc w:val="left"/>
      <w:pPr>
        <w:tabs>
          <w:tab w:val="num" w:pos="3318"/>
        </w:tabs>
        <w:ind w:left="3318" w:hanging="360"/>
      </w:pPr>
      <w:rPr>
        <w:rFonts w:ascii="Symbol" w:hAnsi="Symbol" w:cs="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it-IT" w:eastAsia="en-US" w:bidi="ar-SA"/>
      <w14:ligatures w14:val="standardContextual"/>
    </w:rPr>
  </w:style>
  <w:style w:type="paragraph" w:styleId="Heading1">
    <w:name w:val="heading 1"/>
    <w:basedOn w:val="Normal"/>
    <w:next w:val="Normal"/>
    <w:link w:val="Titolo1Carattere"/>
    <w:uiPriority w:val="9"/>
    <w:qFormat/>
    <w:rsid w:val="00773a7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olo2Carattere"/>
    <w:uiPriority w:val="9"/>
    <w:semiHidden/>
    <w:unhideWhenUsed/>
    <w:qFormat/>
    <w:rsid w:val="00773a7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olo3Carattere"/>
    <w:uiPriority w:val="9"/>
    <w:semiHidden/>
    <w:unhideWhenUsed/>
    <w:qFormat/>
    <w:rsid w:val="00773a7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olo4Carattere"/>
    <w:uiPriority w:val="9"/>
    <w:semiHidden/>
    <w:unhideWhenUsed/>
    <w:qFormat/>
    <w:rsid w:val="00773a7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olo5Carattere"/>
    <w:uiPriority w:val="9"/>
    <w:semiHidden/>
    <w:unhideWhenUsed/>
    <w:qFormat/>
    <w:rsid w:val="00773a7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olo6Carattere"/>
    <w:uiPriority w:val="9"/>
    <w:semiHidden/>
    <w:unhideWhenUsed/>
    <w:qFormat/>
    <w:rsid w:val="00773a7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773a7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773a7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773a7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773a79"/>
    <w:rPr>
      <w:rFonts w:ascii="Aptos Display" w:hAnsi="Aptos Display" w:eastAsia="" w:cs="" w:asciiTheme="majorHAnsi" w:cstheme="majorBidi" w:eastAsiaTheme="majorEastAsia" w:hAnsiTheme="majorHAnsi"/>
      <w:color w:themeColor="accent1" w:themeShade="bf" w:val="0F4761"/>
      <w:sz w:val="40"/>
      <w:szCs w:val="40"/>
    </w:rPr>
  </w:style>
  <w:style w:type="character" w:styleId="Titolo2Carattere" w:customStyle="1">
    <w:name w:val="Titolo 2 Carattere"/>
    <w:basedOn w:val="DefaultParagraphFont"/>
    <w:uiPriority w:val="9"/>
    <w:semiHidden/>
    <w:qFormat/>
    <w:rsid w:val="00773a79"/>
    <w:rPr>
      <w:rFonts w:ascii="Aptos Display" w:hAnsi="Aptos Display" w:eastAsia="" w:cs="" w:asciiTheme="majorHAnsi" w:cstheme="majorBidi" w:eastAsiaTheme="majorEastAsia" w:hAnsiTheme="majorHAnsi"/>
      <w:color w:themeColor="accent1" w:themeShade="bf" w:val="0F4761"/>
      <w:sz w:val="32"/>
      <w:szCs w:val="32"/>
    </w:rPr>
  </w:style>
  <w:style w:type="character" w:styleId="Titolo3Carattere" w:customStyle="1">
    <w:name w:val="Titolo 3 Carattere"/>
    <w:basedOn w:val="DefaultParagraphFont"/>
    <w:uiPriority w:val="9"/>
    <w:semiHidden/>
    <w:qFormat/>
    <w:rsid w:val="00773a79"/>
    <w:rPr>
      <w:rFonts w:eastAsia="" w:cs="" w:cstheme="majorBidi" w:eastAsiaTheme="majorEastAsia"/>
      <w:color w:themeColor="accent1" w:themeShade="bf" w:val="0F4761"/>
      <w:sz w:val="28"/>
      <w:szCs w:val="28"/>
    </w:rPr>
  </w:style>
  <w:style w:type="character" w:styleId="Titolo4Carattere" w:customStyle="1">
    <w:name w:val="Titolo 4 Carattere"/>
    <w:basedOn w:val="DefaultParagraphFont"/>
    <w:uiPriority w:val="9"/>
    <w:semiHidden/>
    <w:qFormat/>
    <w:rsid w:val="00773a79"/>
    <w:rPr>
      <w:rFonts w:eastAsia="" w:cs="" w:cstheme="majorBidi" w:eastAsiaTheme="majorEastAsia"/>
      <w:i/>
      <w:iCs/>
      <w:color w:themeColor="accent1" w:themeShade="bf" w:val="0F4761"/>
    </w:rPr>
  </w:style>
  <w:style w:type="character" w:styleId="Titolo5Carattere" w:customStyle="1">
    <w:name w:val="Titolo 5 Carattere"/>
    <w:basedOn w:val="DefaultParagraphFont"/>
    <w:uiPriority w:val="9"/>
    <w:semiHidden/>
    <w:qFormat/>
    <w:rsid w:val="00773a79"/>
    <w:rPr>
      <w:rFonts w:eastAsia="" w:cs="" w:cstheme="majorBidi" w:eastAsiaTheme="majorEastAsia"/>
      <w:color w:themeColor="accent1" w:themeShade="bf" w:val="0F4761"/>
    </w:rPr>
  </w:style>
  <w:style w:type="character" w:styleId="Titolo6Carattere" w:customStyle="1">
    <w:name w:val="Titolo 6 Carattere"/>
    <w:basedOn w:val="DefaultParagraphFont"/>
    <w:uiPriority w:val="9"/>
    <w:semiHidden/>
    <w:qFormat/>
    <w:rsid w:val="00773a79"/>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qFormat/>
    <w:rsid w:val="00773a79"/>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773a79"/>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773a79"/>
    <w:rPr>
      <w:rFonts w:eastAsia="" w:cs="" w:cstheme="majorBidi" w:eastAsiaTheme="majorEastAsia"/>
      <w:color w:themeColor="text1" w:themeTint="d8" w:val="272727"/>
    </w:rPr>
  </w:style>
  <w:style w:type="character" w:styleId="TitoloCarattere" w:customStyle="1">
    <w:name w:val="Titolo Carattere"/>
    <w:basedOn w:val="DefaultParagraphFont"/>
    <w:uiPriority w:val="10"/>
    <w:qFormat/>
    <w:rsid w:val="00773a79"/>
    <w:rPr>
      <w:rFonts w:ascii="Aptos Display" w:hAnsi="Aptos Display"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773a79"/>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773a79"/>
    <w:rPr>
      <w:i/>
      <w:iCs/>
      <w:color w:themeColor="text1" w:themeTint="bf" w:val="404040"/>
    </w:rPr>
  </w:style>
  <w:style w:type="character" w:styleId="IntenseEmphasis">
    <w:name w:val="Intense Emphasis"/>
    <w:basedOn w:val="DefaultParagraphFont"/>
    <w:uiPriority w:val="21"/>
    <w:qFormat/>
    <w:rsid w:val="00773a79"/>
    <w:rPr>
      <w:i/>
      <w:iCs/>
      <w:color w:themeColor="accent1" w:themeShade="bf" w:val="0F4761"/>
    </w:rPr>
  </w:style>
  <w:style w:type="character" w:styleId="CitazioneintensaCarattere" w:customStyle="1">
    <w:name w:val="Citazione intensa Carattere"/>
    <w:basedOn w:val="DefaultParagraphFont"/>
    <w:link w:val="IntenseQuote"/>
    <w:uiPriority w:val="30"/>
    <w:qFormat/>
    <w:rsid w:val="00773a79"/>
    <w:rPr>
      <w:i/>
      <w:iCs/>
      <w:color w:themeColor="accent1" w:themeShade="bf" w:val="0F4761"/>
    </w:rPr>
  </w:style>
  <w:style w:type="character" w:styleId="IntenseReference">
    <w:name w:val="Intense Reference"/>
    <w:basedOn w:val="DefaultParagraphFont"/>
    <w:uiPriority w:val="32"/>
    <w:qFormat/>
    <w:rsid w:val="00773a79"/>
    <w:rPr>
      <w:b/>
      <w:bCs/>
      <w:smallCaps/>
      <w:color w:themeColor="accent1" w:themeShade="bf" w:val="0F4761"/>
      <w:spacing w:val="5"/>
    </w:rPr>
  </w:style>
  <w:style w:type="character" w:styleId="IntestazioneCarattere" w:customStyle="1">
    <w:name w:val="Intestazione Carattere"/>
    <w:basedOn w:val="DefaultParagraphFont"/>
    <w:uiPriority w:val="99"/>
    <w:qFormat/>
    <w:rsid w:val="00773a79"/>
    <w:rPr/>
  </w:style>
  <w:style w:type="character" w:styleId="PidipaginaCarattere" w:customStyle="1">
    <w:name w:val="Piè di pagina Carattere"/>
    <w:basedOn w:val="DefaultParagraphFont"/>
    <w:uiPriority w:val="99"/>
    <w:qFormat/>
    <w:rsid w:val="00773a79"/>
    <w:rPr/>
  </w:style>
  <w:style w:type="character" w:styleId="Hyperlink">
    <w:name w:val="Hyperlink"/>
    <w:basedOn w:val="DefaultParagraphFont"/>
    <w:uiPriority w:val="99"/>
    <w:unhideWhenUsed/>
    <w:rsid w:val="00f902ff"/>
    <w:rPr>
      <w:color w:themeColor="hyperlink" w:val="467886"/>
      <w:u w:val="single"/>
    </w:rPr>
  </w:style>
  <w:style w:type="character" w:styleId="UnresolvedMention">
    <w:name w:val="Unresolved Mention"/>
    <w:basedOn w:val="DefaultParagraphFont"/>
    <w:uiPriority w:val="99"/>
    <w:semiHidden/>
    <w:unhideWhenUsed/>
    <w:qFormat/>
    <w:rsid w:val="00f902ff"/>
    <w:rPr>
      <w:color w:val="605E5C"/>
      <w:shd w:fill="E1DFDD" w:val="clear"/>
    </w:rPr>
  </w:style>
  <w:style w:type="character" w:styleId="WW8Num3z0">
    <w:name w:val="WW8Num3z0"/>
    <w:qFormat/>
    <w:rPr>
      <w:rFonts w:ascii="Symbol" w:hAnsi="Symbol" w:cs="Symbol"/>
      <w:sz w:val="22"/>
      <w:szCs w:val="22"/>
    </w:rPr>
  </w:style>
  <w:style w:type="character" w:styleId="WW8Num2z0">
    <w:name w:val="WW8Num2z0"/>
    <w:qFormat/>
    <w:rPr>
      <w:rFonts w:ascii="Times New Roman" w:hAnsi="Times New Roman" w:cs="Times New Roman"/>
      <w:sz w:val="22"/>
      <w:szCs w:val="22"/>
    </w:rPr>
  </w:style>
  <w:style w:type="character" w:styleId="Puntiuser">
    <w:name w:val="Punti (user)"/>
    <w:qFormat/>
    <w:rPr>
      <w:rFonts w:ascii="OpenSymbol" w:hAnsi="OpenSymbol" w:eastAsia="OpenSymbol" w:cs="OpenSymbol"/>
    </w:rPr>
  </w:style>
  <w:style w:type="character" w:styleId="Punti">
    <w:name w:val="Punti"/>
    <w:qFormat/>
    <w:rPr>
      <w:rFonts w:ascii="OpenSymbol" w:hAnsi="OpenSymbol" w:eastAsia="OpenSymbol" w:cs="OpenSymbol"/>
    </w:rPr>
  </w:style>
  <w:style w:type="character" w:styleId="Emphasis">
    <w:name w:val="Emphasis"/>
    <w:qFormat/>
    <w:rPr>
      <w:i/>
      <w:iCs/>
    </w:rPr>
  </w:style>
  <w:style w:type="character" w:styleId="Strong">
    <w:name w:val="Strong"/>
    <w:qFormat/>
    <w:rPr>
      <w:b/>
      <w:bCs/>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Title">
    <w:name w:val="Title"/>
    <w:basedOn w:val="Normal"/>
    <w:next w:val="Normal"/>
    <w:link w:val="TitoloCarattere"/>
    <w:uiPriority w:val="10"/>
    <w:qFormat/>
    <w:rsid w:val="00773a7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uiPriority w:val="11"/>
    <w:qFormat/>
    <w:rsid w:val="00773a79"/>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773a79"/>
    <w:pPr>
      <w:spacing w:before="160" w:after="160"/>
      <w:jc w:val="center"/>
    </w:pPr>
    <w:rPr>
      <w:i/>
      <w:iCs/>
      <w:color w:themeColor="text1" w:themeTint="bf" w:val="404040"/>
    </w:rPr>
  </w:style>
  <w:style w:type="paragraph" w:styleId="ListParagraph">
    <w:name w:val="List Paragraph"/>
    <w:basedOn w:val="Normal"/>
    <w:uiPriority w:val="34"/>
    <w:qFormat/>
    <w:rsid w:val="00773a79"/>
    <w:pPr>
      <w:spacing w:before="0" w:after="160"/>
      <w:ind w:left="720"/>
      <w:contextualSpacing/>
    </w:pPr>
    <w:rPr/>
  </w:style>
  <w:style w:type="paragraph" w:styleId="IntenseQuote">
    <w:name w:val="Intense Quote"/>
    <w:basedOn w:val="Normal"/>
    <w:next w:val="Normal"/>
    <w:link w:val="CitazioneintensaCarattere"/>
    <w:uiPriority w:val="30"/>
    <w:qFormat/>
    <w:rsid w:val="00773a79"/>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773a79"/>
    <w:pPr>
      <w:tabs>
        <w:tab w:val="clear" w:pos="709"/>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773a79"/>
    <w:pPr>
      <w:tabs>
        <w:tab w:val="clear" w:pos="709"/>
        <w:tab w:val="center" w:pos="4819" w:leader="none"/>
        <w:tab w:val="right" w:pos="9638" w:leader="none"/>
      </w:tabs>
      <w:spacing w:lineRule="auto" w:line="240" w:before="0" w:after="0"/>
    </w:pPr>
    <w:rPr/>
  </w:style>
  <w:style w:type="paragraph" w:styleId="Paragrafobase" w:customStyle="1">
    <w:name w:val="[Paragrafo base]"/>
    <w:basedOn w:val="Normal"/>
    <w:uiPriority w:val="99"/>
    <w:qFormat/>
    <w:rsid w:val="00f902ff"/>
    <w:pPr>
      <w:spacing w:lineRule="auto" w:line="288" w:before="0" w:after="0"/>
      <w:textAlignment w:val="center"/>
    </w:pPr>
    <w:rPr>
      <w:rFonts w:ascii="MinionPro-Regular" w:hAnsi="MinionPro-Regular" w:cs="MinionPro-Regular"/>
      <w:color w:val="000000"/>
      <w:kern w:val="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2"/>
      <w:sz w:val="24"/>
      <w:szCs w:val="24"/>
      <w:lang w:val="it-IT" w:eastAsia="zh-CN" w:bidi="ar-SA"/>
      <w14:ligatures w14:val="standardContextual"/>
    </w:rPr>
  </w:style>
  <w:style w:type="paragraph" w:styleId="Corpodeltesto2">
    <w:name w:val="Corpo del testo 2"/>
    <w:basedOn w:val="Normal"/>
    <w:qFormat/>
    <w:pPr>
      <w:spacing w:lineRule="auto" w:line="480" w:before="0" w:after="120"/>
    </w:pPr>
    <w:rPr/>
  </w:style>
  <w:style w:type="paragraph" w:styleId="Contenutocorniceuser">
    <w:name w:val="Contenuto cornice (user)"/>
    <w:basedOn w:val="Normal"/>
    <w:qFormat/>
    <w:pPr/>
    <w:rPr/>
  </w:style>
  <w:style w:type="numbering" w:styleId="Nessunelenco" w:default="1">
    <w:name w:val="Nessun elenco"/>
    <w:uiPriority w:val="99"/>
    <w:semiHidden/>
    <w:unhideWhenUsed/>
    <w:qFormat/>
  </w:style>
  <w:style w:type="numbering" w:styleId="WW8Num3">
    <w:name w:val="WW8Num3"/>
    <w:qFormat/>
  </w:style>
  <w:style w:type="numbering" w:styleId="WW8Num2">
    <w:name w:val="WW8Num2"/>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rmazione.istat.it/moodle/course/view.php?id=333" TargetMode="External"/><Relationship Id="rId3" Type="http://schemas.openxmlformats.org/officeDocument/2006/relationships/hyperlink" Target="mailto:affariamministrativi@postacert.istat.it" TargetMode="External"/><Relationship Id="rId4" Type="http://schemas.openxmlformats.org/officeDocument/2006/relationships/hyperlink" Target="mailto:dcap@istat.it"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comune.budrio@cert.provincia.bo.it" TargetMode="External"/>
</Relationships>
</file>

<file path=word/_rels/footer3.xml.rels><?xml version="1.0" encoding="UTF-8"?>
<Relationships xmlns="http://schemas.openxmlformats.org/package/2006/relationships"><Relationship Id="rId1" Type="http://schemas.openxmlformats.org/officeDocument/2006/relationships/hyperlink" Target="mailto:comune.budrio@cert.provincia.bo.it"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218</TotalTime>
  <Application>LibreOffice/25.2.5.2$Windows_X86_64 LibreOffice_project/03d19516eb2e1dd5d4ccd751a0d6f35f35e08022</Application>
  <AppVersion>15.0000</AppVersion>
  <Pages>6</Pages>
  <Words>1539</Words>
  <Characters>9576</Characters>
  <CharactersWithSpaces>11094</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2024-09-04T13:59:00Z</dcterms:created>
  <dc:creator>DANILO ZACCHIROLI</dc:creator>
  <dc:description/>
  <dc:language>it-IT</dc:language>
  <cp:lastModifiedBy/>
  <dcterms:modified xsi:type="dcterms:W3CDTF">2025-09-10T14:41:25Z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